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06DE" w14:textId="5952BD92" w:rsidR="0030305E" w:rsidRPr="0078555D" w:rsidRDefault="00D73699" w:rsidP="00D73699">
      <w:pPr>
        <w:pStyle w:val="Heading1"/>
        <w:rPr>
          <w:iCs/>
          <w:sz w:val="44"/>
          <w:szCs w:val="44"/>
        </w:rPr>
      </w:pPr>
      <w:bookmarkStart w:id="0" w:name="_Toc234306878"/>
      <w:r w:rsidRPr="0078555D">
        <w:rPr>
          <w:iCs/>
          <w:sz w:val="44"/>
          <w:szCs w:val="44"/>
        </w:rPr>
        <w:t>Appendix B: NHMRC research funding – responding to fraud</w:t>
      </w:r>
      <w:bookmarkEnd w:id="0"/>
      <w:r w:rsidRPr="0078555D">
        <w:rPr>
          <w:iCs/>
          <w:sz w:val="44"/>
          <w:szCs w:val="44"/>
        </w:rPr>
        <w:t xml:space="preserve"> </w:t>
      </w:r>
      <w:r w:rsidR="0030305E" w:rsidRPr="0078555D">
        <w:rPr>
          <w:sz w:val="44"/>
          <w:szCs w:val="44"/>
        </w:rPr>
        <w:t xml:space="preserve"> </w:t>
      </w:r>
    </w:p>
    <w:p w14:paraId="5832FC69" w14:textId="4FEFBF91" w:rsidR="00D73699" w:rsidRDefault="00D73699" w:rsidP="00D73699">
      <w:pPr>
        <w:spacing w:after="240" w:line="240" w:lineRule="auto"/>
      </w:pPr>
      <w:r>
        <w:t xml:space="preserve">NHMRC is the Australian Government’s key entity for managing investment in, and the integrity of, health and medical research. NHMRC funds high-quality research and researchers to help achieve our mission of building a healthy Australia. NHMRC expects the highest levels of research conduct and integrity to be observed in the research that it funds, and all NHMRC-funded researchers are expected to act responsibly and with honesty and integrity. </w:t>
      </w:r>
    </w:p>
    <w:p w14:paraId="370A3B76" w14:textId="77777777" w:rsidR="00D73699" w:rsidRDefault="00D73699" w:rsidP="00D73699">
      <w:pPr>
        <w:spacing w:after="240" w:line="240" w:lineRule="auto"/>
      </w:pPr>
      <w:r>
        <w:t>NHMRC is serious about preventing, detecting and responding to fraud, and NHMRC’s grantees (NHMRC Administering Institutions) have obligations in relation to responding to fraud relating to NHMRC-funded research activity. These include the following obligations under NHMRC’s 2026 Funding Agreement:</w:t>
      </w:r>
    </w:p>
    <w:p w14:paraId="54664797" w14:textId="77777777" w:rsidR="00D73699" w:rsidRDefault="00D73699" w:rsidP="00D73699">
      <w:pPr>
        <w:pStyle w:val="ListParagraph"/>
        <w:numPr>
          <w:ilvl w:val="0"/>
          <w:numId w:val="24"/>
        </w:numPr>
        <w:spacing w:after="240" w:line="240" w:lineRule="auto"/>
      </w:pPr>
      <w:r w:rsidRPr="00D73699">
        <w:rPr>
          <w:i/>
          <w:iCs/>
        </w:rPr>
        <w:t>Prevention and detection</w:t>
      </w:r>
      <w:r>
        <w:t xml:space="preserve"> – Administering Institutions must take reasonable measures to prevent and detect, as well as investigate as appropriate, fraud in relation to the NHMRC-funded research activity or the NHMRC Funding Agreement. </w:t>
      </w:r>
    </w:p>
    <w:p w14:paraId="2AD33320" w14:textId="77777777" w:rsidR="00D73699" w:rsidRDefault="00D73699" w:rsidP="00D73699">
      <w:pPr>
        <w:pStyle w:val="ListParagraph"/>
        <w:numPr>
          <w:ilvl w:val="0"/>
          <w:numId w:val="24"/>
        </w:numPr>
        <w:spacing w:after="240" w:line="240" w:lineRule="auto"/>
      </w:pPr>
      <w:r w:rsidRPr="00D73699">
        <w:rPr>
          <w:i/>
          <w:iCs/>
        </w:rPr>
        <w:t>Reporting</w:t>
      </w:r>
      <w:r>
        <w:t xml:space="preserve"> – Administering Institutions must:</w:t>
      </w:r>
    </w:p>
    <w:p w14:paraId="5FA890C2" w14:textId="77777777" w:rsidR="00D73699" w:rsidRDefault="00D73699" w:rsidP="00D73699">
      <w:pPr>
        <w:pStyle w:val="ListParagraph"/>
        <w:numPr>
          <w:ilvl w:val="1"/>
          <w:numId w:val="24"/>
        </w:numPr>
        <w:spacing w:after="240" w:line="240" w:lineRule="auto"/>
      </w:pPr>
      <w:r>
        <w:t>if they become aware of any fraud (alleged, attempted, suspected, detected) in relation to the performance of the research activity, notify NHMRC within five business days of becoming aware of it</w:t>
      </w:r>
    </w:p>
    <w:p w14:paraId="287F4CF5" w14:textId="77777777" w:rsidR="00D73699" w:rsidRDefault="00D73699" w:rsidP="00D73699">
      <w:pPr>
        <w:pStyle w:val="ListParagraph"/>
        <w:numPr>
          <w:ilvl w:val="1"/>
          <w:numId w:val="24"/>
        </w:numPr>
        <w:spacing w:after="240" w:line="240" w:lineRule="auto"/>
      </w:pPr>
      <w:r>
        <w:tab/>
        <w:t xml:space="preserve">report back to NHMRC on the outcomes of their consideration of such alleged/suspected/detected fraud, including any investigation, </w:t>
      </w:r>
      <w:proofErr w:type="gramStart"/>
      <w:r>
        <w:t>in order for</w:t>
      </w:r>
      <w:proofErr w:type="gramEnd"/>
      <w:r>
        <w:t xml:space="preserve"> NHMRC to determine if further action is required.</w:t>
      </w:r>
    </w:p>
    <w:p w14:paraId="7FCB577D" w14:textId="0610C4C2" w:rsidR="00D73699" w:rsidRDefault="00C5078B" w:rsidP="00D73699">
      <w:pPr>
        <w:pStyle w:val="ListParagraph"/>
        <w:numPr>
          <w:ilvl w:val="1"/>
          <w:numId w:val="24"/>
        </w:numPr>
        <w:spacing w:after="240" w:line="240" w:lineRule="auto"/>
      </w:pPr>
      <w:r>
        <w:t>r</w:t>
      </w:r>
      <w:r w:rsidR="00D73699">
        <w:t xml:space="preserve">eport the matter to appropriate law enforcement/regulatory agencies in accordance with relevant Commonwealth or state or territory legislation. </w:t>
      </w:r>
    </w:p>
    <w:p w14:paraId="09136503" w14:textId="3806A39D" w:rsidR="00D73699" w:rsidRDefault="00D73699" w:rsidP="00D73699">
      <w:pPr>
        <w:pStyle w:val="ListParagraph"/>
        <w:numPr>
          <w:ilvl w:val="0"/>
          <w:numId w:val="24"/>
        </w:numPr>
        <w:spacing w:after="240" w:line="240" w:lineRule="auto"/>
      </w:pPr>
      <w:r w:rsidRPr="00C5078B">
        <w:rPr>
          <w:i/>
          <w:iCs/>
        </w:rPr>
        <w:t>Investigations</w:t>
      </w:r>
      <w:r>
        <w:t xml:space="preserve"> – Where an Administering Institution conducts a fraud investigation in relation to the performance of a grant activity, it must ensure that it is in accordance with the AGIS (</w:t>
      </w:r>
      <w:hyperlink r:id="rId8" w:history="1">
        <w:r w:rsidRPr="00C5078B">
          <w:rPr>
            <w:rStyle w:val="Hyperlink"/>
          </w:rPr>
          <w:t>Australian Government Investigations Standards | Attorney-General's Department</w:t>
        </w:r>
      </w:hyperlink>
      <w:r>
        <w:t xml:space="preserve">). This includes the investigator being appropriately qualified.  </w:t>
      </w:r>
    </w:p>
    <w:p w14:paraId="2F448841" w14:textId="3876DDB2" w:rsidR="00D73699" w:rsidRDefault="00D73699" w:rsidP="00D73699">
      <w:pPr>
        <w:spacing w:after="240" w:line="240" w:lineRule="auto"/>
      </w:pPr>
      <w:r>
        <w:t xml:space="preserve">In addition to reports from Administering Institutions, NHMRC may receive reports of alleged or suspected fraud from other organisations or persons, including allegations made anonymously. In those cases, we may ask the relevant Administering Institution to consider the allegation and report back on its consideration/investigation. </w:t>
      </w:r>
    </w:p>
    <w:p w14:paraId="4BAA1BB0" w14:textId="732BF57C" w:rsidR="0030305E" w:rsidRDefault="00D73699" w:rsidP="00D73699">
      <w:pPr>
        <w:spacing w:after="240" w:line="240" w:lineRule="auto"/>
      </w:pPr>
      <w:r>
        <w:t>NHMRC understands that, as fraud is a hidden crime, it may become apparent during other processes, and that how a matter is managed may change depending on the stage of a process and as further information becomes available.</w:t>
      </w:r>
    </w:p>
    <w:p w14:paraId="4AC4A3F1" w14:textId="77777777" w:rsidR="000C556D" w:rsidRDefault="000C556D" w:rsidP="00C5078B">
      <w:pPr>
        <w:pStyle w:val="Heading2"/>
      </w:pPr>
      <w:r>
        <w:t>Fraud and research integrity</w:t>
      </w:r>
    </w:p>
    <w:p w14:paraId="3EFF9BDA" w14:textId="166F85BD" w:rsidR="000C556D" w:rsidRDefault="000C556D" w:rsidP="000C556D">
      <w:pPr>
        <w:spacing w:after="240" w:line="240" w:lineRule="auto"/>
      </w:pPr>
      <w:r>
        <w:t xml:space="preserve">As outlined in section 4 of NHMRC’s Fraud and Corruption Control Framework, NHMRC Administering Institutions are also required under the Funding Agreement to provide NHMRC with information relating to actual or alleged breaches of the Australian Code for the Responsible </w:t>
      </w:r>
      <w:r>
        <w:lastRenderedPageBreak/>
        <w:t xml:space="preserve">Conduct of Research, and to manage those cases in line with the requirements of the </w:t>
      </w:r>
      <w:hyperlink r:id="rId9" w:history="1">
        <w:r w:rsidRPr="00C5078B">
          <w:rPr>
            <w:rStyle w:val="Hyperlink"/>
          </w:rPr>
          <w:t>NHMRC Research integrity and misconduct policy | NHMRC</w:t>
        </w:r>
      </w:hyperlink>
      <w:r>
        <w:t xml:space="preserve">.  </w:t>
      </w:r>
    </w:p>
    <w:p w14:paraId="6F0ADC93" w14:textId="77777777" w:rsidR="000C556D" w:rsidRDefault="000C556D" w:rsidP="000C556D">
      <w:pPr>
        <w:spacing w:after="240" w:line="240" w:lineRule="auto"/>
      </w:pPr>
      <w:r>
        <w:t>Some allegations about potential breaches of the Australian Code for the Responsible Conduct of Research may overlap with potential fraud or corruption. For example, where:</w:t>
      </w:r>
    </w:p>
    <w:p w14:paraId="0D16BAC8" w14:textId="40F0851B" w:rsidR="000C556D" w:rsidRDefault="000C556D" w:rsidP="000C556D">
      <w:pPr>
        <w:pStyle w:val="ListParagraph"/>
        <w:numPr>
          <w:ilvl w:val="0"/>
          <w:numId w:val="25"/>
        </w:numPr>
        <w:spacing w:after="240" w:line="240" w:lineRule="auto"/>
      </w:pPr>
      <w:proofErr w:type="spellStart"/>
      <w:r>
        <w:t>fals</w:t>
      </w:r>
      <w:proofErr w:type="spellEnd"/>
      <w:r>
        <w:tab/>
      </w:r>
      <w:proofErr w:type="spellStart"/>
      <w:r>
        <w:t>ifi</w:t>
      </w:r>
      <w:proofErr w:type="spellEnd"/>
      <w:r w:rsidR="00C5078B">
        <w:tab/>
      </w:r>
      <w:r w:rsidR="00C5078B">
        <w:tab/>
      </w:r>
      <w:r>
        <w:t>ed d</w:t>
      </w:r>
      <w:r>
        <w:tab/>
      </w:r>
      <w:proofErr w:type="spellStart"/>
      <w:r>
        <w:t>ata</w:t>
      </w:r>
      <w:proofErr w:type="spellEnd"/>
      <w:r>
        <w:t xml:space="preserve"> were used in a grant application</w:t>
      </w:r>
    </w:p>
    <w:p w14:paraId="7919214A" w14:textId="77777777" w:rsidR="000C556D" w:rsidRDefault="000C556D" w:rsidP="000C556D">
      <w:pPr>
        <w:pStyle w:val="ListParagraph"/>
        <w:numPr>
          <w:ilvl w:val="0"/>
          <w:numId w:val="25"/>
        </w:numPr>
        <w:spacing w:after="240" w:line="240" w:lineRule="auto"/>
      </w:pPr>
      <w:r>
        <w:tab/>
        <w:t xml:space="preserve">research grant funds have not been used for the purposes of the funded research (e.g., they are used for personal purposes) </w:t>
      </w:r>
    </w:p>
    <w:p w14:paraId="74BAF142" w14:textId="61B0223F" w:rsidR="000C556D" w:rsidRDefault="000C556D" w:rsidP="000C556D">
      <w:pPr>
        <w:pStyle w:val="ListParagraph"/>
        <w:numPr>
          <w:ilvl w:val="0"/>
          <w:numId w:val="25"/>
        </w:numPr>
        <w:spacing w:after="240" w:line="240" w:lineRule="auto"/>
      </w:pPr>
      <w:r>
        <w:tab/>
        <w:t>researchers appointed to peer review panels deliberately disadvantage applications during the peer review process or use the information gained in that capacity for their own benefit.</w:t>
      </w:r>
    </w:p>
    <w:p w14:paraId="50A072AA" w14:textId="36E7CF2C" w:rsidR="000C556D" w:rsidRDefault="000C556D" w:rsidP="000C556D">
      <w:pPr>
        <w:spacing w:after="240" w:line="240" w:lineRule="auto"/>
      </w:pPr>
      <w:r>
        <w:t xml:space="preserve">Note that for the purposes of reporting, NHMRC considers corrupt conduct to be a form of disreputable conduct, managed under the NHMRC Research Integrity and Misconduct Policy. </w:t>
      </w:r>
    </w:p>
    <w:p w14:paraId="780F8D8E" w14:textId="52930299" w:rsidR="000C556D" w:rsidRDefault="000C556D" w:rsidP="000C556D">
      <w:pPr>
        <w:spacing w:after="240" w:line="240" w:lineRule="auto"/>
      </w:pPr>
      <w:r>
        <w:t xml:space="preserve">The Fraud and Corruption Control Framework should therefore be read in conjunction with the </w:t>
      </w:r>
      <w:hyperlink r:id="rId10" w:history="1">
        <w:r w:rsidRPr="00C5078B">
          <w:rPr>
            <w:rStyle w:val="Hyperlink"/>
          </w:rPr>
          <w:t>NHMRC Research integrity and misconduct policy | NHMRC</w:t>
        </w:r>
      </w:hyperlink>
      <w:r>
        <w:t>.</w:t>
      </w:r>
    </w:p>
    <w:p w14:paraId="7BF99F46" w14:textId="017B8AFF" w:rsidR="000C556D" w:rsidRDefault="000C556D" w:rsidP="000C556D">
      <w:pPr>
        <w:spacing w:after="240" w:line="240" w:lineRule="auto"/>
      </w:pPr>
      <w:r>
        <w:t xml:space="preserve">An overlap between potential fraud and a breach of the Australian Code for the Responsible Conduct of Research may be apparent from the beginning or may become apparent during the process of conducting a preliminary assessment or investigation into a research misconduct allegation. Where an Administering Institution has notified NHMRC of a potential breach of the Code that may include fraud, NHMRC will also consider the matter under the Fraud and Corruption Control Framework. In these situations, NHMRC will consider how to best manage the matter, to avoid unnecessary administrative burden. </w:t>
      </w:r>
    </w:p>
    <w:p w14:paraId="3260297B" w14:textId="77777777" w:rsidR="000C556D" w:rsidRDefault="000C556D" w:rsidP="000C556D">
      <w:pPr>
        <w:spacing w:after="240" w:line="240" w:lineRule="auto"/>
      </w:pPr>
      <w:r>
        <w:t xml:space="preserve">As outlined in this Fraud and Corruption Control Framework, there may be </w:t>
      </w:r>
      <w:proofErr w:type="gramStart"/>
      <w:r>
        <w:t>a number of</w:t>
      </w:r>
      <w:proofErr w:type="gramEnd"/>
      <w:r>
        <w:t xml:space="preserve"> responses to fraud (including alleged, suspected, detected or substantiated). For example, depending on the circumstances, NHMRC could:</w:t>
      </w:r>
    </w:p>
    <w:p w14:paraId="0BB2F74B" w14:textId="77777777" w:rsidR="000C556D" w:rsidRDefault="000C556D" w:rsidP="000C556D">
      <w:pPr>
        <w:pStyle w:val="ListParagraph"/>
        <w:numPr>
          <w:ilvl w:val="0"/>
          <w:numId w:val="26"/>
        </w:numPr>
        <w:spacing w:after="240" w:line="240" w:lineRule="auto"/>
      </w:pPr>
      <w:r>
        <w:t>defer further consideration of alleged or suspected fraud until after a preliminary assessment has been conducted for a possible breach of the Code</w:t>
      </w:r>
    </w:p>
    <w:p w14:paraId="3EA4B390" w14:textId="77777777" w:rsidR="000C556D" w:rsidRDefault="000C556D" w:rsidP="000C556D">
      <w:pPr>
        <w:pStyle w:val="ListParagraph"/>
        <w:numPr>
          <w:ilvl w:val="0"/>
          <w:numId w:val="26"/>
        </w:numPr>
        <w:spacing w:after="240" w:line="240" w:lineRule="auto"/>
      </w:pPr>
      <w:r>
        <w:tab/>
        <w:t>request additional information from the Administering Institution or individual researchers, or progress reports, while awaiting the outcome of a preliminary assessment or investigation</w:t>
      </w:r>
    </w:p>
    <w:p w14:paraId="3A0105A8" w14:textId="77777777" w:rsidR="000C556D" w:rsidRDefault="000C556D" w:rsidP="000C556D">
      <w:pPr>
        <w:pStyle w:val="ListParagraph"/>
        <w:numPr>
          <w:ilvl w:val="0"/>
          <w:numId w:val="26"/>
        </w:numPr>
        <w:spacing w:after="240" w:line="240" w:lineRule="auto"/>
      </w:pPr>
      <w:r>
        <w:t>manage as non-compliance under the NHMRC Funding Agreement</w:t>
      </w:r>
    </w:p>
    <w:p w14:paraId="327DB693" w14:textId="77777777" w:rsidR="000C556D" w:rsidRDefault="000C556D" w:rsidP="000C556D">
      <w:pPr>
        <w:pStyle w:val="ListParagraph"/>
        <w:numPr>
          <w:ilvl w:val="0"/>
          <w:numId w:val="26"/>
        </w:numPr>
        <w:spacing w:after="240" w:line="240" w:lineRule="auto"/>
      </w:pPr>
      <w:r>
        <w:tab/>
        <w:t>determine that no further action is warranted, if satisfied with actions already taken in response to a potential breach of the Code (e.g., precautionary and/or consequential actions) or, alternatively, determine that further action is warranted although the Code has not been breached</w:t>
      </w:r>
    </w:p>
    <w:p w14:paraId="407192DD" w14:textId="77777777" w:rsidR="000C556D" w:rsidRDefault="000C556D" w:rsidP="000C556D">
      <w:pPr>
        <w:pStyle w:val="ListParagraph"/>
        <w:numPr>
          <w:ilvl w:val="0"/>
          <w:numId w:val="26"/>
        </w:numPr>
        <w:spacing w:after="240" w:line="240" w:lineRule="auto"/>
      </w:pPr>
      <w:r>
        <w:tab/>
        <w:t>impose precautionary or consequential actions, where warranted, such as suspension of funds or recovery of funds</w:t>
      </w:r>
    </w:p>
    <w:p w14:paraId="787D63A9" w14:textId="77777777" w:rsidR="000C556D" w:rsidRDefault="000C556D" w:rsidP="000C556D">
      <w:pPr>
        <w:pStyle w:val="ListParagraph"/>
        <w:numPr>
          <w:ilvl w:val="0"/>
          <w:numId w:val="26"/>
        </w:numPr>
        <w:spacing w:after="240" w:line="240" w:lineRule="auto"/>
      </w:pPr>
      <w:r>
        <w:tab/>
        <w:t>request regular reports on the progress of any investigation if such reports are not already being provided through a process under the NHMRC Research integrity and misconduct policy</w:t>
      </w:r>
    </w:p>
    <w:p w14:paraId="6CC108F0" w14:textId="77777777" w:rsidR="000C556D" w:rsidRDefault="000C556D" w:rsidP="000C556D">
      <w:pPr>
        <w:pStyle w:val="ListParagraph"/>
        <w:numPr>
          <w:ilvl w:val="0"/>
          <w:numId w:val="26"/>
        </w:numPr>
        <w:spacing w:after="240" w:line="240" w:lineRule="auto"/>
      </w:pPr>
      <w:r>
        <w:lastRenderedPageBreak/>
        <w:t>request the AI consider the matter under their fraud control framework, including conducting a fraud investigation.</w:t>
      </w:r>
    </w:p>
    <w:p w14:paraId="2862F058" w14:textId="0DCE8931" w:rsidR="000C556D" w:rsidRDefault="000C556D" w:rsidP="000C556D">
      <w:pPr>
        <w:pStyle w:val="ListParagraph"/>
        <w:numPr>
          <w:ilvl w:val="0"/>
          <w:numId w:val="26"/>
        </w:numPr>
        <w:spacing w:after="240" w:line="240" w:lineRule="auto"/>
      </w:pPr>
      <w:r>
        <w:tab/>
        <w:t>refer the matter to external bodies, e.g., AFP or NACC.</w:t>
      </w:r>
    </w:p>
    <w:p w14:paraId="76AB2739" w14:textId="77777777" w:rsidR="000C556D" w:rsidRDefault="000C556D" w:rsidP="000C556D">
      <w:pPr>
        <w:spacing w:after="240" w:line="240" w:lineRule="auto"/>
      </w:pPr>
      <w:r>
        <w:t>For further information about responding to fraud, see Section 5 of this Framework.</w:t>
      </w:r>
    </w:p>
    <w:p w14:paraId="47BC02D9" w14:textId="77777777" w:rsidR="000C556D" w:rsidRDefault="000C556D" w:rsidP="000C556D">
      <w:pPr>
        <w:pStyle w:val="Heading2"/>
      </w:pPr>
      <w:r>
        <w:t>Information-sharing to prevent and respond to fraud</w:t>
      </w:r>
    </w:p>
    <w:p w14:paraId="55FDA106" w14:textId="05556D02" w:rsidR="000C556D" w:rsidRDefault="000C556D" w:rsidP="000C556D">
      <w:pPr>
        <w:spacing w:after="240" w:line="240" w:lineRule="auto"/>
      </w:pPr>
      <w:r>
        <w:t xml:space="preserve">As outlined in section 2.2 of the Fraud and Corruption Control Framework, and in accordance with NHMRC’s obligations to protect against fraud and corruption, where other Australian Government agencies are affected or likely to be affected by a fraud or corruption matter, NHMRC may share information with those agencies, in accordance with its lawful obligations relating to the disclosure or use of information. </w:t>
      </w:r>
    </w:p>
    <w:p w14:paraId="7E174D20" w14:textId="77777777" w:rsidR="000C556D" w:rsidRDefault="000C556D" w:rsidP="000C556D">
      <w:pPr>
        <w:pStyle w:val="Heading3"/>
      </w:pPr>
      <w:r>
        <w:t>Reporting possible fraud relating to the Medical Research Future Fund (MRFF)</w:t>
      </w:r>
    </w:p>
    <w:p w14:paraId="3AFE155E" w14:textId="39439FB9" w:rsidR="000C556D" w:rsidRDefault="000C556D" w:rsidP="000C556D">
      <w:pPr>
        <w:spacing w:after="240" w:line="240" w:lineRule="auto"/>
      </w:pPr>
      <w:r>
        <w:t xml:space="preserve">The Department of Health, Disability and Ageing is responsible for considering reports of fraud that occurs in Eligible Organisations or participating institutions with respect to MRFF grants. Institutions must report to NHMRC any fraud related to MRFF-funded grants administered by NHMRC. Where you inform NHMRC of reports of fraud with respect to MRFF grants, it will advise the Department of Health, Disability and Ageing. </w:t>
      </w:r>
    </w:p>
    <w:p w14:paraId="2CF81C60" w14:textId="4086902A" w:rsidR="000C556D" w:rsidRPr="003070A0" w:rsidRDefault="000C556D" w:rsidP="000C556D">
      <w:pPr>
        <w:spacing w:after="240" w:line="240" w:lineRule="auto"/>
      </w:pPr>
      <w:r>
        <w:t>Where a matter may involve both NHMRC and the Department (e.g. the fraud matter relates to both MREA and MRFF grants), the two agencies may liaise as appropriate. Within the Department, suspected fraud is managed by its central fraud investigation function in accordance with departmental processes.</w:t>
      </w:r>
    </w:p>
    <w:sectPr w:rsidR="000C556D" w:rsidRPr="003070A0" w:rsidSect="0030305E">
      <w:headerReference w:type="even" r:id="rId11"/>
      <w:headerReference w:type="default" r:id="rId12"/>
      <w:footerReference w:type="even" r:id="rId13"/>
      <w:footerReference w:type="default" r:id="rId14"/>
      <w:headerReference w:type="first" r:id="rId15"/>
      <w:footerReference w:type="first" r:id="rId16"/>
      <w:pgSz w:w="11906" w:h="16838" w:code="9"/>
      <w:pgMar w:top="1814" w:right="1134" w:bottom="1565" w:left="90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648B" w14:textId="77777777" w:rsidR="00BE26AB" w:rsidRDefault="00BE26AB">
      <w:pPr>
        <w:spacing w:before="0" w:after="0" w:line="240" w:lineRule="auto"/>
      </w:pPr>
      <w:r>
        <w:separator/>
      </w:r>
    </w:p>
  </w:endnote>
  <w:endnote w:type="continuationSeparator" w:id="0">
    <w:p w14:paraId="741767DB" w14:textId="77777777" w:rsidR="00BE26AB" w:rsidRDefault="00BE26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Gotham Book">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8674" w14:textId="13834EC5" w:rsidR="001603DF" w:rsidRDefault="001603DF">
    <w:pPr>
      <w:pStyle w:val="Footer"/>
    </w:pPr>
    <w:r>
      <w:rPr>
        <w:noProof/>
      </w:rPr>
      <mc:AlternateContent>
        <mc:Choice Requires="wps">
          <w:drawing>
            <wp:anchor distT="0" distB="0" distL="0" distR="0" simplePos="0" relativeHeight="251662336" behindDoc="0" locked="0" layoutInCell="1" allowOverlap="1" wp14:anchorId="2F7195F0" wp14:editId="7EFA63E9">
              <wp:simplePos x="635" y="635"/>
              <wp:positionH relativeFrom="page">
                <wp:align>left</wp:align>
              </wp:positionH>
              <wp:positionV relativeFrom="page">
                <wp:align>bottom</wp:align>
              </wp:positionV>
              <wp:extent cx="949325" cy="444500"/>
              <wp:effectExtent l="0" t="0" r="3175" b="0"/>
              <wp:wrapNone/>
              <wp:docPr id="139483690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9325" cy="444500"/>
                      </a:xfrm>
                      <a:prstGeom prst="rect">
                        <a:avLst/>
                      </a:prstGeom>
                      <a:noFill/>
                      <a:ln>
                        <a:noFill/>
                      </a:ln>
                    </wps:spPr>
                    <wps:txbx>
                      <w:txbxContent>
                        <w:p w14:paraId="14A37179" w14:textId="5D44E9A0" w:rsidR="001603DF" w:rsidRPr="001603DF" w:rsidRDefault="001603DF" w:rsidP="001603DF">
                          <w:pPr>
                            <w:spacing w:after="0"/>
                            <w:rPr>
                              <w:rFonts w:ascii="Aptos" w:eastAsia="Aptos" w:hAnsi="Aptos" w:cs="Aptos"/>
                              <w:noProof/>
                              <w:color w:val="000000"/>
                              <w:szCs w:val="20"/>
                            </w:rPr>
                          </w:pPr>
                          <w:r w:rsidRPr="001603DF">
                            <w:rPr>
                              <w:rFonts w:ascii="Aptos" w:eastAsia="Aptos" w:hAnsi="Aptos" w:cs="Aptos"/>
                              <w:noProof/>
                              <w:color w:val="000000"/>
                              <w:szCs w:val="20"/>
                            </w:rPr>
                            <w:t>UNOFFICIAL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7195F0" id="_x0000_t202" coordsize="21600,21600" o:spt="202" path="m,l,21600r21600,l21600,xe">
              <v:stroke joinstyle="miter"/>
              <v:path gradientshapeok="t" o:connecttype="rect"/>
            </v:shapetype>
            <v:shape id="Text Box 5" o:spid="_x0000_s1027" type="#_x0000_t202" alt="UNOFFICIAL" style="position:absolute;margin-left:0;margin-top:0;width:74.75pt;height:3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" filled="f" stroked="f">
              <v:textbox style="mso-fit-shape-to-text:t" inset="20pt,0,0,15pt">
                <w:txbxContent>
                  <w:p w14:paraId="14A37179" w14:textId="5D44E9A0" w:rsidR="001603DF" w:rsidRPr="001603DF" w:rsidRDefault="001603DF" w:rsidP="001603DF">
                    <w:pPr>
                      <w:spacing w:after="0"/>
                      <w:rPr>
                        <w:rFonts w:ascii="Aptos" w:eastAsia="Aptos" w:hAnsi="Aptos" w:cs="Aptos"/>
                        <w:noProof/>
                        <w:color w:val="000000"/>
                        <w:szCs w:val="20"/>
                      </w:rPr>
                    </w:pPr>
                    <w:r w:rsidRPr="001603DF">
                      <w:rPr>
                        <w:rFonts w:ascii="Aptos" w:eastAsia="Aptos" w:hAnsi="Aptos" w:cs="Aptos"/>
                        <w:noProof/>
                        <w:color w:val="00000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24" w:type="dxa"/>
      <w:tblBorders>
        <w:top w:val="single" w:sz="4" w:space="0" w:color="77BCD9" w:themeColor="accent1"/>
      </w:tblBorders>
      <w:tblLayout w:type="fixed"/>
      <w:tblLook w:val="04A0" w:firstRow="1" w:lastRow="0" w:firstColumn="1" w:lastColumn="0" w:noHBand="0" w:noVBand="1"/>
    </w:tblPr>
    <w:tblGrid>
      <w:gridCol w:w="1736"/>
      <w:gridCol w:w="7422"/>
      <w:gridCol w:w="1366"/>
    </w:tblGrid>
    <w:tr w:rsidR="002308EE" w:rsidRPr="00FF1AAF" w14:paraId="285F00BA" w14:textId="77777777" w:rsidTr="0078555D">
      <w:tc>
        <w:tcPr>
          <w:tcW w:w="1736" w:type="dxa"/>
        </w:tcPr>
        <w:p w14:paraId="38FB9B99" w14:textId="01D800D4" w:rsidR="002308EE" w:rsidRPr="00FF1AAF" w:rsidRDefault="001603DF" w:rsidP="002308EE">
          <w:pPr>
            <w:pStyle w:val="Footer"/>
            <w:tabs>
              <w:tab w:val="clear" w:pos="4513"/>
              <w:tab w:val="clear" w:pos="9026"/>
              <w:tab w:val="center" w:pos="7230"/>
              <w:tab w:val="right" w:pos="10206"/>
            </w:tabs>
            <w:rPr>
              <w:rFonts w:ascii="Gotham Book" w:hAnsi="Gotham Book" w:cs="Arial"/>
              <w:sz w:val="18"/>
            </w:rPr>
          </w:pPr>
          <w:r>
            <w:rPr>
              <w:rFonts w:ascii="Gotham Book" w:hAnsi="Gotham Book" w:cs="Arial"/>
              <w:noProof/>
              <w:sz w:val="18"/>
            </w:rPr>
            <mc:AlternateContent>
              <mc:Choice Requires="wps">
                <w:drawing>
                  <wp:anchor distT="0" distB="0" distL="0" distR="0" simplePos="0" relativeHeight="251663360" behindDoc="0" locked="0" layoutInCell="1" allowOverlap="1" wp14:anchorId="56A47A83" wp14:editId="4629F48A">
                    <wp:simplePos x="645160" y="9646285"/>
                    <wp:positionH relativeFrom="page">
                      <wp:align>left</wp:align>
                    </wp:positionH>
                    <wp:positionV relativeFrom="page">
                      <wp:align>bottom</wp:align>
                    </wp:positionV>
                    <wp:extent cx="949325" cy="444500"/>
                    <wp:effectExtent l="0" t="0" r="3175" b="0"/>
                    <wp:wrapNone/>
                    <wp:docPr id="1684010312"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9325" cy="444500"/>
                            </a:xfrm>
                            <a:prstGeom prst="rect">
                              <a:avLst/>
                            </a:prstGeom>
                            <a:noFill/>
                            <a:ln>
                              <a:noFill/>
                            </a:ln>
                          </wps:spPr>
                          <wps:txbx>
                            <w:txbxContent>
                              <w:p w14:paraId="19DEF3E9" w14:textId="45EE952D" w:rsidR="001603DF" w:rsidRPr="001603DF" w:rsidRDefault="001603DF" w:rsidP="001603DF">
                                <w:pPr>
                                  <w:spacing w:after="0"/>
                                  <w:rPr>
                                    <w:rFonts w:ascii="Aptos" w:eastAsia="Aptos" w:hAnsi="Aptos" w:cs="Aptos"/>
                                    <w:noProof/>
                                    <w:color w:val="00000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A47A83" id="_x0000_t202" coordsize="21600,21600" o:spt="202" path="m,l,21600r21600,l21600,xe">
                    <v:stroke joinstyle="miter"/>
                    <v:path gradientshapeok="t" o:connecttype="rect"/>
                  </v:shapetype>
                  <v:shape id="Text Box 6" o:spid="_x0000_s1028" type="#_x0000_t202" alt="UNOFFICIAL" style="position:absolute;margin-left:0;margin-top:0;width:74.75pt;height:3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" filled="f" stroked="f">
                    <v:textbox style="mso-fit-shape-to-text:t" inset="20pt,0,0,15pt">
                      <w:txbxContent>
                        <w:p w14:paraId="19DEF3E9" w14:textId="45EE952D" w:rsidR="001603DF" w:rsidRPr="001603DF" w:rsidRDefault="001603DF" w:rsidP="001603DF">
                          <w:pPr>
                            <w:spacing w:after="0"/>
                            <w:rPr>
                              <w:rFonts w:ascii="Aptos" w:eastAsia="Aptos" w:hAnsi="Aptos" w:cs="Aptos"/>
                              <w:noProof/>
                              <w:color w:val="000000"/>
                              <w:szCs w:val="20"/>
                            </w:rPr>
                          </w:pPr>
                        </w:p>
                      </w:txbxContent>
                    </v:textbox>
                    <w10:wrap anchorx="page" anchory="page"/>
                  </v:shape>
                </w:pict>
              </mc:Fallback>
            </mc:AlternateContent>
          </w:r>
        </w:p>
      </w:tc>
      <w:tc>
        <w:tcPr>
          <w:tcW w:w="7422" w:type="dxa"/>
        </w:tcPr>
        <w:p w14:paraId="278D2209"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Pr>
        <w:p w14:paraId="6C5F8ADC"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667E50BB" w14:textId="77777777" w:rsidTr="0078555D">
      <w:tc>
        <w:tcPr>
          <w:tcW w:w="1736" w:type="dxa"/>
        </w:tcPr>
        <w:p w14:paraId="5FAB9B23"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Pr>
        <w:p w14:paraId="556B7710" w14:textId="09FB8908" w:rsidR="002308EE" w:rsidRPr="00FF1AAF" w:rsidRDefault="002308EE" w:rsidP="002308EE">
          <w:pPr>
            <w:pStyle w:val="SecurityDLM"/>
            <w:spacing w:after="0" w:line="240" w:lineRule="auto"/>
            <w:ind w:left="0"/>
            <w:jc w:val="right"/>
            <w:rPr>
              <w:rFonts w:cs="Arial"/>
              <w:sz w:val="18"/>
            </w:rPr>
          </w:pPr>
        </w:p>
      </w:tc>
      <w:tc>
        <w:tcPr>
          <w:tcW w:w="1366" w:type="dxa"/>
        </w:tcPr>
        <w:p w14:paraId="16C3897D"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34FEF925" wp14:editId="34A8C60D">
                <wp:extent cx="617855" cy="380365"/>
                <wp:effectExtent l="0" t="0" r="0" b="635"/>
                <wp:docPr id="19" name="Picture 19"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16EC0B59"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Borders>
        <w:top w:val="single" w:sz="4" w:space="0" w:color="77BCD9" w:themeColor="accent1"/>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52"/>
      <w:gridCol w:w="7706"/>
      <w:gridCol w:w="1366"/>
    </w:tblGrid>
    <w:tr w:rsidR="002308EE" w:rsidRPr="00FF1AAF" w14:paraId="7170DF63" w14:textId="77777777" w:rsidTr="0030305E">
      <w:tc>
        <w:tcPr>
          <w:tcW w:w="1452" w:type="dxa"/>
        </w:tcPr>
        <w:p w14:paraId="74343FFC" w14:textId="1D8171E8"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p>
      </w:tc>
      <w:tc>
        <w:tcPr>
          <w:tcW w:w="7706" w:type="dxa"/>
        </w:tcPr>
        <w:p w14:paraId="13878F86" w14:textId="14BA5C72" w:rsidR="002308EE" w:rsidRPr="00FF1AAF" w:rsidRDefault="002308EE" w:rsidP="002308EE">
          <w:pPr>
            <w:pStyle w:val="SecurityDLM"/>
            <w:spacing w:after="0" w:line="240" w:lineRule="auto"/>
            <w:ind w:left="0"/>
            <w:jc w:val="right"/>
            <w:rPr>
              <w:rFonts w:cs="Arial"/>
              <w:sz w:val="18"/>
            </w:rPr>
          </w:pPr>
        </w:p>
      </w:tc>
      <w:tc>
        <w:tcPr>
          <w:tcW w:w="1366" w:type="dxa"/>
        </w:tcPr>
        <w:p w14:paraId="5299CD96"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671058EB" wp14:editId="79302F92">
                <wp:extent cx="617855" cy="380365"/>
                <wp:effectExtent l="0" t="0" r="0" b="635"/>
                <wp:docPr id="90" name="Picture 90"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1236C863"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C966" w14:textId="77777777" w:rsidR="00BE26AB" w:rsidRDefault="00BE26AB" w:rsidP="007A386A">
      <w:pPr>
        <w:spacing w:after="0" w:line="240" w:lineRule="auto"/>
      </w:pPr>
      <w:r>
        <w:separator/>
      </w:r>
    </w:p>
  </w:footnote>
  <w:footnote w:type="continuationSeparator" w:id="0">
    <w:p w14:paraId="354F2670" w14:textId="77777777" w:rsidR="00BE26AB" w:rsidRDefault="00BE26AB" w:rsidP="007A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D223" w14:textId="15EC5BBC" w:rsidR="001603DF" w:rsidRDefault="001603DF">
    <w:pPr>
      <w:pStyle w:val="Header"/>
    </w:pPr>
    <w:r>
      <w:rPr>
        <w:noProof/>
      </w:rPr>
      <mc:AlternateContent>
        <mc:Choice Requires="wps">
          <w:drawing>
            <wp:anchor distT="0" distB="0" distL="0" distR="0" simplePos="0" relativeHeight="251659264" behindDoc="0" locked="0" layoutInCell="1" allowOverlap="1" wp14:anchorId="2787F166" wp14:editId="469F5743">
              <wp:simplePos x="635" y="635"/>
              <wp:positionH relativeFrom="page">
                <wp:align>left</wp:align>
              </wp:positionH>
              <wp:positionV relativeFrom="page">
                <wp:align>top</wp:align>
              </wp:positionV>
              <wp:extent cx="949325" cy="444500"/>
              <wp:effectExtent l="0" t="0" r="3175" b="12700"/>
              <wp:wrapNone/>
              <wp:docPr id="506962563"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9325" cy="444500"/>
                      </a:xfrm>
                      <a:prstGeom prst="rect">
                        <a:avLst/>
                      </a:prstGeom>
                      <a:noFill/>
                      <a:ln>
                        <a:noFill/>
                      </a:ln>
                    </wps:spPr>
                    <wps:txbx>
                      <w:txbxContent>
                        <w:p w14:paraId="57008C90" w14:textId="4B1D5A43" w:rsidR="001603DF" w:rsidRPr="001603DF" w:rsidRDefault="001603DF" w:rsidP="001603DF">
                          <w:pPr>
                            <w:spacing w:after="0"/>
                            <w:rPr>
                              <w:rFonts w:ascii="Aptos" w:eastAsia="Aptos" w:hAnsi="Aptos" w:cs="Aptos"/>
                              <w:noProof/>
                              <w:color w:val="000000"/>
                              <w:szCs w:val="20"/>
                            </w:rPr>
                          </w:pPr>
                          <w:r w:rsidRPr="001603DF">
                            <w:rPr>
                              <w:rFonts w:ascii="Aptos" w:eastAsia="Aptos" w:hAnsi="Aptos" w:cs="Aptos"/>
                              <w:noProof/>
                              <w:color w:val="000000"/>
                              <w:szCs w:val="20"/>
                            </w:rPr>
                            <w:t>UNOFFICIAL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87F166" id="_x0000_t202" coordsize="21600,21600" o:spt="202" path="m,l,21600r21600,l21600,xe">
              <v:stroke joinstyle="miter"/>
              <v:path gradientshapeok="t" o:connecttype="rect"/>
            </v:shapetype>
            <v:shape id="Text Box 2" o:spid="_x0000_s1026" type="#_x0000_t202" alt="UNOFFICIAL" style="position:absolute;margin-left:0;margin-top:0;width:74.75pt;height:3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" filled="f" stroked="f">
              <v:textbox style="mso-fit-shape-to-text:t" inset="20pt,15pt,0,0">
                <w:txbxContent>
                  <w:p w14:paraId="57008C90" w14:textId="4B1D5A43" w:rsidR="001603DF" w:rsidRPr="001603DF" w:rsidRDefault="001603DF" w:rsidP="001603DF">
                    <w:pPr>
                      <w:spacing w:after="0"/>
                      <w:rPr>
                        <w:rFonts w:ascii="Aptos" w:eastAsia="Aptos" w:hAnsi="Aptos" w:cs="Aptos"/>
                        <w:noProof/>
                        <w:color w:val="000000"/>
                        <w:szCs w:val="20"/>
                      </w:rPr>
                    </w:pPr>
                    <w:r w:rsidRPr="001603DF">
                      <w:rPr>
                        <w:rFonts w:ascii="Aptos" w:eastAsia="Aptos" w:hAnsi="Aptos" w:cs="Aptos"/>
                        <w:noProof/>
                        <w:color w:val="000000"/>
                        <w:szCs w:val="2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gridCol w:w="1417"/>
    </w:tblGrid>
    <w:tr w:rsidR="002308EE" w14:paraId="6FB27F3C" w14:textId="77777777" w:rsidTr="002308EE">
      <w:tc>
        <w:tcPr>
          <w:tcW w:w="2977" w:type="dxa"/>
        </w:tcPr>
        <w:p w14:paraId="12F54E9E" w14:textId="47B23EF2" w:rsidR="002308EE" w:rsidRDefault="002308EE" w:rsidP="002308EE">
          <w:pPr>
            <w:pStyle w:val="Header"/>
          </w:pPr>
        </w:p>
      </w:tc>
      <w:tc>
        <w:tcPr>
          <w:tcW w:w="5954" w:type="dxa"/>
        </w:tcPr>
        <w:p w14:paraId="67D5BD64" w14:textId="11C4B0C8" w:rsidR="002308EE" w:rsidRDefault="002308EE" w:rsidP="002308EE">
          <w:pPr>
            <w:pStyle w:val="SecurityDLM"/>
            <w:ind w:left="0"/>
            <w:jc w:val="right"/>
          </w:pPr>
        </w:p>
      </w:tc>
      <w:tc>
        <w:tcPr>
          <w:tcW w:w="1417" w:type="dxa"/>
        </w:tcPr>
        <w:p w14:paraId="0DCF95CD" w14:textId="77777777" w:rsidR="002308EE" w:rsidRDefault="002308EE" w:rsidP="002308EE">
          <w:pPr>
            <w:pStyle w:val="Header"/>
            <w:jc w:val="right"/>
          </w:pPr>
          <w:r>
            <w:rPr>
              <w:noProof/>
            </w:rPr>
            <w:drawing>
              <wp:inline distT="0" distB="0" distL="0" distR="0" wp14:anchorId="18DA4DEA" wp14:editId="09EBC55B">
                <wp:extent cx="755640" cy="755640"/>
                <wp:effectExtent l="0" t="0" r="6985" b="6985"/>
                <wp:docPr id="8" name="Picture 8"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2DC80F9E" w14:textId="77777777" w:rsidR="0022668B" w:rsidRDefault="0022668B" w:rsidP="0022668B">
    <w:pPr>
      <w:pStyle w:val="Header"/>
    </w:pPr>
  </w:p>
  <w:p w14:paraId="6F0BECBF" w14:textId="77777777" w:rsidR="002308EE" w:rsidRDefault="002308EE" w:rsidP="00226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3B3DE8" w14:paraId="19B8EEC6" w14:textId="77777777" w:rsidTr="002308EE">
      <w:tc>
        <w:tcPr>
          <w:tcW w:w="5386" w:type="dxa"/>
        </w:tcPr>
        <w:p w14:paraId="4D0B3519" w14:textId="633481E3" w:rsidR="003B3DE8" w:rsidRDefault="003B3DE8" w:rsidP="0022668B">
          <w:pPr>
            <w:pStyle w:val="Header"/>
          </w:pPr>
          <w:r>
            <w:rPr>
              <w:noProof/>
            </w:rPr>
            <w:drawing>
              <wp:inline distT="0" distB="0" distL="0" distR="0" wp14:anchorId="49C2B0BF" wp14:editId="7067BFA6">
                <wp:extent cx="3282950" cy="756920"/>
                <wp:effectExtent l="0" t="0" r="0" b="5080"/>
                <wp:docPr id="16" name="Picture 16"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9" w:type="dxa"/>
        </w:tcPr>
        <w:p w14:paraId="4200E529" w14:textId="3FCF74A3" w:rsidR="003B3DE8" w:rsidRDefault="003B3DE8" w:rsidP="002308EE">
          <w:pPr>
            <w:pStyle w:val="SecurityDLM"/>
            <w:ind w:left="0"/>
            <w:jc w:val="right"/>
          </w:pPr>
        </w:p>
      </w:tc>
      <w:tc>
        <w:tcPr>
          <w:tcW w:w="1415" w:type="dxa"/>
        </w:tcPr>
        <w:p w14:paraId="37643102" w14:textId="77777777" w:rsidR="003B3DE8" w:rsidRDefault="002308EE" w:rsidP="002308EE">
          <w:pPr>
            <w:pStyle w:val="Header"/>
            <w:jc w:val="right"/>
          </w:pPr>
          <w:r>
            <w:rPr>
              <w:noProof/>
            </w:rPr>
            <w:drawing>
              <wp:inline distT="0" distB="0" distL="0" distR="0" wp14:anchorId="16DD2843" wp14:editId="3D5E55DA">
                <wp:extent cx="755640" cy="755640"/>
                <wp:effectExtent l="0" t="0" r="6985" b="6985"/>
                <wp:docPr id="15" name="Picture 15"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4B7E6601" w14:textId="77777777" w:rsidR="00133DD8" w:rsidRPr="00A7117A" w:rsidRDefault="00133DD8" w:rsidP="002308E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7ED"/>
    <w:multiLevelType w:val="multilevel"/>
    <w:tmpl w:val="C284D0B0"/>
    <w:numStyleLink w:val="FigureNumbers"/>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890E47"/>
    <w:multiLevelType w:val="hybridMultilevel"/>
    <w:tmpl w:val="E628387E"/>
    <w:lvl w:ilvl="0" w:tplc="092E6C30">
      <w:start w:val="1"/>
      <w:numFmt w:val="decimal"/>
      <w:pStyle w:val="SourceNotesNumbered"/>
      <w:lvlText w:val="%1."/>
      <w:lvlJc w:val="left"/>
      <w:pPr>
        <w:ind w:left="720" w:hanging="360"/>
      </w:pPr>
      <w:rPr>
        <w:rFonts w:hint="default"/>
        <w:caps w:val="0"/>
        <w:vanish w:val="0"/>
        <w:color w:val="000000" w:themeColor="text1"/>
      </w:rPr>
    </w:lvl>
    <w:lvl w:ilvl="1" w:tplc="F74A54DE" w:tentative="1">
      <w:start w:val="1"/>
      <w:numFmt w:val="lowerLetter"/>
      <w:lvlText w:val="%2."/>
      <w:lvlJc w:val="left"/>
      <w:pPr>
        <w:ind w:left="1440" w:hanging="360"/>
      </w:pPr>
    </w:lvl>
    <w:lvl w:ilvl="2" w:tplc="5240F48A" w:tentative="1">
      <w:start w:val="1"/>
      <w:numFmt w:val="lowerRoman"/>
      <w:lvlText w:val="%3."/>
      <w:lvlJc w:val="right"/>
      <w:pPr>
        <w:ind w:left="2160" w:hanging="180"/>
      </w:pPr>
    </w:lvl>
    <w:lvl w:ilvl="3" w:tplc="0156908A" w:tentative="1">
      <w:start w:val="1"/>
      <w:numFmt w:val="decimal"/>
      <w:lvlText w:val="%4."/>
      <w:lvlJc w:val="left"/>
      <w:pPr>
        <w:ind w:left="2880" w:hanging="360"/>
      </w:pPr>
    </w:lvl>
    <w:lvl w:ilvl="4" w:tplc="63D44120" w:tentative="1">
      <w:start w:val="1"/>
      <w:numFmt w:val="lowerLetter"/>
      <w:lvlText w:val="%5."/>
      <w:lvlJc w:val="left"/>
      <w:pPr>
        <w:ind w:left="3600" w:hanging="360"/>
      </w:pPr>
    </w:lvl>
    <w:lvl w:ilvl="5" w:tplc="C474245A" w:tentative="1">
      <w:start w:val="1"/>
      <w:numFmt w:val="lowerRoman"/>
      <w:lvlText w:val="%6."/>
      <w:lvlJc w:val="right"/>
      <w:pPr>
        <w:ind w:left="4320" w:hanging="180"/>
      </w:pPr>
    </w:lvl>
    <w:lvl w:ilvl="6" w:tplc="DDC20084" w:tentative="1">
      <w:start w:val="1"/>
      <w:numFmt w:val="decimal"/>
      <w:lvlText w:val="%7."/>
      <w:lvlJc w:val="left"/>
      <w:pPr>
        <w:ind w:left="5040" w:hanging="360"/>
      </w:pPr>
    </w:lvl>
    <w:lvl w:ilvl="7" w:tplc="313AC3C2" w:tentative="1">
      <w:start w:val="1"/>
      <w:numFmt w:val="lowerLetter"/>
      <w:lvlText w:val="%8."/>
      <w:lvlJc w:val="left"/>
      <w:pPr>
        <w:ind w:left="5760" w:hanging="360"/>
      </w:pPr>
    </w:lvl>
    <w:lvl w:ilvl="8" w:tplc="6BBEEBB4" w:tentative="1">
      <w:start w:val="1"/>
      <w:numFmt w:val="lowerRoman"/>
      <w:lvlText w:val="%9."/>
      <w:lvlJc w:val="right"/>
      <w:pPr>
        <w:ind w:left="6480" w:hanging="180"/>
      </w:pPr>
    </w:lvl>
  </w:abstractNum>
  <w:abstractNum w:abstractNumId="6" w15:restartNumberingAfterBreak="0">
    <w:nsid w:val="34A26E8F"/>
    <w:multiLevelType w:val="hybridMultilevel"/>
    <w:tmpl w:val="EFAC3E2E"/>
    <w:lvl w:ilvl="0" w:tplc="00E6C2F8">
      <w:start w:val="1"/>
      <w:numFmt w:val="upperLetter"/>
      <w:pStyle w:val="ListParagraph"/>
      <w:lvlText w:val="%1."/>
      <w:lvlJc w:val="left"/>
      <w:pPr>
        <w:ind w:left="720" w:hanging="360"/>
      </w:pPr>
    </w:lvl>
    <w:lvl w:ilvl="1" w:tplc="203CE8C4" w:tentative="1">
      <w:start w:val="1"/>
      <w:numFmt w:val="lowerLetter"/>
      <w:lvlText w:val="%2."/>
      <w:lvlJc w:val="left"/>
      <w:pPr>
        <w:ind w:left="1440" w:hanging="360"/>
      </w:pPr>
    </w:lvl>
    <w:lvl w:ilvl="2" w:tplc="2B2E0E64" w:tentative="1">
      <w:start w:val="1"/>
      <w:numFmt w:val="lowerRoman"/>
      <w:lvlText w:val="%3."/>
      <w:lvlJc w:val="right"/>
      <w:pPr>
        <w:ind w:left="2160" w:hanging="180"/>
      </w:pPr>
    </w:lvl>
    <w:lvl w:ilvl="3" w:tplc="6DF4B774" w:tentative="1">
      <w:start w:val="1"/>
      <w:numFmt w:val="decimal"/>
      <w:lvlText w:val="%4."/>
      <w:lvlJc w:val="left"/>
      <w:pPr>
        <w:ind w:left="2880" w:hanging="360"/>
      </w:pPr>
    </w:lvl>
    <w:lvl w:ilvl="4" w:tplc="77AC9F78" w:tentative="1">
      <w:start w:val="1"/>
      <w:numFmt w:val="lowerLetter"/>
      <w:lvlText w:val="%5."/>
      <w:lvlJc w:val="left"/>
      <w:pPr>
        <w:ind w:left="3600" w:hanging="360"/>
      </w:pPr>
    </w:lvl>
    <w:lvl w:ilvl="5" w:tplc="3FF63870" w:tentative="1">
      <w:start w:val="1"/>
      <w:numFmt w:val="lowerRoman"/>
      <w:lvlText w:val="%6."/>
      <w:lvlJc w:val="right"/>
      <w:pPr>
        <w:ind w:left="4320" w:hanging="180"/>
      </w:pPr>
    </w:lvl>
    <w:lvl w:ilvl="6" w:tplc="A4A6E84C" w:tentative="1">
      <w:start w:val="1"/>
      <w:numFmt w:val="decimal"/>
      <w:lvlText w:val="%7."/>
      <w:lvlJc w:val="left"/>
      <w:pPr>
        <w:ind w:left="5040" w:hanging="360"/>
      </w:pPr>
    </w:lvl>
    <w:lvl w:ilvl="7" w:tplc="6DCE045A" w:tentative="1">
      <w:start w:val="1"/>
      <w:numFmt w:val="lowerLetter"/>
      <w:lvlText w:val="%8."/>
      <w:lvlJc w:val="left"/>
      <w:pPr>
        <w:ind w:left="5760" w:hanging="360"/>
      </w:pPr>
    </w:lvl>
    <w:lvl w:ilvl="8" w:tplc="6010A934" w:tentative="1">
      <w:start w:val="1"/>
      <w:numFmt w:val="lowerRoman"/>
      <w:lvlText w:val="%9."/>
      <w:lvlJc w:val="right"/>
      <w:pPr>
        <w:ind w:left="6480" w:hanging="180"/>
      </w:pPr>
    </w:lvl>
  </w:abstractNum>
  <w:abstractNum w:abstractNumId="7" w15:restartNumberingAfterBreak="0">
    <w:nsid w:val="3C03754B"/>
    <w:multiLevelType w:val="hybridMultilevel"/>
    <w:tmpl w:val="4ED2361E"/>
    <w:lvl w:ilvl="0" w:tplc="0C090001">
      <w:start w:val="1"/>
      <w:numFmt w:val="bullet"/>
      <w:lvlText w:val=""/>
      <w:lvlJc w:val="left"/>
      <w:pPr>
        <w:ind w:left="735" w:hanging="360"/>
      </w:pPr>
      <w:rPr>
        <w:rFonts w:ascii="Symbol" w:hAnsi="Symbol" w:hint="default"/>
      </w:rPr>
    </w:lvl>
    <w:lvl w:ilvl="1" w:tplc="0C090003">
      <w:start w:val="1"/>
      <w:numFmt w:val="bullet"/>
      <w:lvlText w:val="o"/>
      <w:lvlJc w:val="left"/>
      <w:pPr>
        <w:ind w:left="1455" w:hanging="360"/>
      </w:pPr>
      <w:rPr>
        <w:rFonts w:ascii="Courier New" w:hAnsi="Courier New" w:cs="Courier New" w:hint="default"/>
      </w:rPr>
    </w:lvl>
    <w:lvl w:ilvl="2" w:tplc="0C090005" w:tentative="1">
      <w:start w:val="1"/>
      <w:numFmt w:val="bullet"/>
      <w:lvlText w:val=""/>
      <w:lvlJc w:val="left"/>
      <w:pPr>
        <w:ind w:left="2175" w:hanging="360"/>
      </w:pPr>
      <w:rPr>
        <w:rFonts w:ascii="Wingdings" w:hAnsi="Wingdings" w:hint="default"/>
      </w:rPr>
    </w:lvl>
    <w:lvl w:ilvl="3" w:tplc="0C090001" w:tentative="1">
      <w:start w:val="1"/>
      <w:numFmt w:val="bullet"/>
      <w:lvlText w:val=""/>
      <w:lvlJc w:val="left"/>
      <w:pPr>
        <w:ind w:left="2895" w:hanging="360"/>
      </w:pPr>
      <w:rPr>
        <w:rFonts w:ascii="Symbol" w:hAnsi="Symbol" w:hint="default"/>
      </w:rPr>
    </w:lvl>
    <w:lvl w:ilvl="4" w:tplc="0C090003" w:tentative="1">
      <w:start w:val="1"/>
      <w:numFmt w:val="bullet"/>
      <w:lvlText w:val="o"/>
      <w:lvlJc w:val="left"/>
      <w:pPr>
        <w:ind w:left="3615" w:hanging="360"/>
      </w:pPr>
      <w:rPr>
        <w:rFonts w:ascii="Courier New" w:hAnsi="Courier New" w:cs="Courier New" w:hint="default"/>
      </w:rPr>
    </w:lvl>
    <w:lvl w:ilvl="5" w:tplc="0C090005" w:tentative="1">
      <w:start w:val="1"/>
      <w:numFmt w:val="bullet"/>
      <w:lvlText w:val=""/>
      <w:lvlJc w:val="left"/>
      <w:pPr>
        <w:ind w:left="4335" w:hanging="360"/>
      </w:pPr>
      <w:rPr>
        <w:rFonts w:ascii="Wingdings" w:hAnsi="Wingdings" w:hint="default"/>
      </w:rPr>
    </w:lvl>
    <w:lvl w:ilvl="6" w:tplc="0C090001" w:tentative="1">
      <w:start w:val="1"/>
      <w:numFmt w:val="bullet"/>
      <w:lvlText w:val=""/>
      <w:lvlJc w:val="left"/>
      <w:pPr>
        <w:ind w:left="5055" w:hanging="360"/>
      </w:pPr>
      <w:rPr>
        <w:rFonts w:ascii="Symbol" w:hAnsi="Symbol" w:hint="default"/>
      </w:rPr>
    </w:lvl>
    <w:lvl w:ilvl="7" w:tplc="0C090003" w:tentative="1">
      <w:start w:val="1"/>
      <w:numFmt w:val="bullet"/>
      <w:lvlText w:val="o"/>
      <w:lvlJc w:val="left"/>
      <w:pPr>
        <w:ind w:left="5775" w:hanging="360"/>
      </w:pPr>
      <w:rPr>
        <w:rFonts w:ascii="Courier New" w:hAnsi="Courier New" w:cs="Courier New" w:hint="default"/>
      </w:rPr>
    </w:lvl>
    <w:lvl w:ilvl="8" w:tplc="0C090005" w:tentative="1">
      <w:start w:val="1"/>
      <w:numFmt w:val="bullet"/>
      <w:lvlText w:val=""/>
      <w:lvlJc w:val="left"/>
      <w:pPr>
        <w:ind w:left="6495" w:hanging="360"/>
      </w:pPr>
      <w:rPr>
        <w:rFonts w:ascii="Wingdings" w:hAnsi="Wingdings" w:hint="default"/>
      </w:rPr>
    </w:lvl>
  </w:abstractNum>
  <w:abstractNum w:abstractNumId="8" w15:restartNumberingAfterBreak="0">
    <w:nsid w:val="3DA76567"/>
    <w:multiLevelType w:val="multilevel"/>
    <w:tmpl w:val="3E280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4BDC6C8E"/>
    <w:multiLevelType w:val="multilevel"/>
    <w:tmpl w:val="131EEC6C"/>
    <w:numStyleLink w:val="TableNumbers"/>
  </w:abstractNum>
  <w:abstractNum w:abstractNumId="11"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6DB5F4C"/>
    <w:multiLevelType w:val="multilevel"/>
    <w:tmpl w:val="0C09001F"/>
    <w:styleLink w:val="NumberedHeadings"/>
    <w:lvl w:ilvl="0">
      <w:start w:val="1"/>
      <w:numFmt w:val="decimal"/>
      <w:pStyle w:val="Heading2Numbered"/>
      <w:lvlText w:val="%1."/>
      <w:lvlJc w:val="left"/>
      <w:pPr>
        <w:ind w:left="360" w:hanging="360"/>
      </w:pPr>
      <w:rPr>
        <w:rFonts w:hint="default"/>
      </w:rPr>
    </w:lvl>
    <w:lvl w:ilvl="1">
      <w:start w:val="1"/>
      <w:numFmt w:val="decimal"/>
      <w:pStyle w:val="Heading3Numbered"/>
      <w:lvlText w:val="%1.%2."/>
      <w:lvlJc w:val="left"/>
      <w:pPr>
        <w:ind w:left="792" w:hanging="432"/>
      </w:pPr>
      <w:rPr>
        <w:rFonts w:hint="default"/>
      </w:rPr>
    </w:lvl>
    <w:lvl w:ilvl="2">
      <w:start w:val="1"/>
      <w:numFmt w:val="decimal"/>
      <w:pStyle w:val="Heading4Numbered"/>
      <w:lvlText w:val="%1.%2.%3."/>
      <w:lvlJc w:val="left"/>
      <w:pPr>
        <w:ind w:left="1224" w:hanging="504"/>
      </w:pPr>
      <w:rPr>
        <w:rFonts w:hint="default"/>
      </w:rPr>
    </w:lvl>
    <w:lvl w:ilvl="3">
      <w:start w:val="1"/>
      <w:numFmt w:val="decimal"/>
      <w:pStyle w:val="Heading5Numbered"/>
      <w:lvlText w:val="%1.%2.%3.%4."/>
      <w:lvlJc w:val="left"/>
      <w:pPr>
        <w:ind w:left="1728" w:hanging="648"/>
      </w:pPr>
      <w:rPr>
        <w:rFonts w:hint="default"/>
      </w:rPr>
    </w:lvl>
    <w:lvl w:ilvl="4">
      <w:start w:val="1"/>
      <w:numFmt w:val="decimal"/>
      <w:pStyle w:val="Heading6Numbered"/>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615703"/>
    <w:multiLevelType w:val="multilevel"/>
    <w:tmpl w:val="803CF862"/>
    <w:numStyleLink w:val="List1Numbered"/>
  </w:abstractNum>
  <w:abstractNum w:abstractNumId="14" w15:restartNumberingAfterBreak="0">
    <w:nsid w:val="5E676E09"/>
    <w:multiLevelType w:val="multilevel"/>
    <w:tmpl w:val="0C09001F"/>
    <w:numStyleLink w:val="NumberedHeadings"/>
  </w:abstractNum>
  <w:abstractNum w:abstractNumId="15" w15:restartNumberingAfterBreak="0">
    <w:nsid w:val="65C92D9A"/>
    <w:multiLevelType w:val="hybridMultilevel"/>
    <w:tmpl w:val="F278A53E"/>
    <w:lvl w:ilvl="0" w:tplc="0C090001">
      <w:start w:val="1"/>
      <w:numFmt w:val="bullet"/>
      <w:lvlText w:val=""/>
      <w:lvlJc w:val="left"/>
      <w:pPr>
        <w:ind w:left="734" w:hanging="360"/>
      </w:pPr>
      <w:rPr>
        <w:rFonts w:ascii="Symbol" w:hAnsi="Symbol" w:hint="default"/>
      </w:rPr>
    </w:lvl>
    <w:lvl w:ilvl="1" w:tplc="0C090003" w:tentative="1">
      <w:start w:val="1"/>
      <w:numFmt w:val="bullet"/>
      <w:lvlText w:val="o"/>
      <w:lvlJc w:val="left"/>
      <w:pPr>
        <w:ind w:left="1454" w:hanging="360"/>
      </w:pPr>
      <w:rPr>
        <w:rFonts w:ascii="Courier New" w:hAnsi="Courier New" w:cs="Courier New" w:hint="default"/>
      </w:rPr>
    </w:lvl>
    <w:lvl w:ilvl="2" w:tplc="0C090005" w:tentative="1">
      <w:start w:val="1"/>
      <w:numFmt w:val="bullet"/>
      <w:lvlText w:val=""/>
      <w:lvlJc w:val="left"/>
      <w:pPr>
        <w:ind w:left="2174" w:hanging="360"/>
      </w:pPr>
      <w:rPr>
        <w:rFonts w:ascii="Wingdings" w:hAnsi="Wingdings" w:hint="default"/>
      </w:rPr>
    </w:lvl>
    <w:lvl w:ilvl="3" w:tplc="0C090001" w:tentative="1">
      <w:start w:val="1"/>
      <w:numFmt w:val="bullet"/>
      <w:lvlText w:val=""/>
      <w:lvlJc w:val="left"/>
      <w:pPr>
        <w:ind w:left="2894" w:hanging="360"/>
      </w:pPr>
      <w:rPr>
        <w:rFonts w:ascii="Symbol" w:hAnsi="Symbol" w:hint="default"/>
      </w:rPr>
    </w:lvl>
    <w:lvl w:ilvl="4" w:tplc="0C090003" w:tentative="1">
      <w:start w:val="1"/>
      <w:numFmt w:val="bullet"/>
      <w:lvlText w:val="o"/>
      <w:lvlJc w:val="left"/>
      <w:pPr>
        <w:ind w:left="3614" w:hanging="360"/>
      </w:pPr>
      <w:rPr>
        <w:rFonts w:ascii="Courier New" w:hAnsi="Courier New" w:cs="Courier New" w:hint="default"/>
      </w:rPr>
    </w:lvl>
    <w:lvl w:ilvl="5" w:tplc="0C090005" w:tentative="1">
      <w:start w:val="1"/>
      <w:numFmt w:val="bullet"/>
      <w:lvlText w:val=""/>
      <w:lvlJc w:val="left"/>
      <w:pPr>
        <w:ind w:left="4334" w:hanging="360"/>
      </w:pPr>
      <w:rPr>
        <w:rFonts w:ascii="Wingdings" w:hAnsi="Wingdings" w:hint="default"/>
      </w:rPr>
    </w:lvl>
    <w:lvl w:ilvl="6" w:tplc="0C090001" w:tentative="1">
      <w:start w:val="1"/>
      <w:numFmt w:val="bullet"/>
      <w:lvlText w:val=""/>
      <w:lvlJc w:val="left"/>
      <w:pPr>
        <w:ind w:left="5054" w:hanging="360"/>
      </w:pPr>
      <w:rPr>
        <w:rFonts w:ascii="Symbol" w:hAnsi="Symbol" w:hint="default"/>
      </w:rPr>
    </w:lvl>
    <w:lvl w:ilvl="7" w:tplc="0C090003" w:tentative="1">
      <w:start w:val="1"/>
      <w:numFmt w:val="bullet"/>
      <w:lvlText w:val="o"/>
      <w:lvlJc w:val="left"/>
      <w:pPr>
        <w:ind w:left="5774" w:hanging="360"/>
      </w:pPr>
      <w:rPr>
        <w:rFonts w:ascii="Courier New" w:hAnsi="Courier New" w:cs="Courier New" w:hint="default"/>
      </w:rPr>
    </w:lvl>
    <w:lvl w:ilvl="8" w:tplc="0C090005" w:tentative="1">
      <w:start w:val="1"/>
      <w:numFmt w:val="bullet"/>
      <w:lvlText w:val=""/>
      <w:lvlJc w:val="left"/>
      <w:pPr>
        <w:ind w:left="6494" w:hanging="360"/>
      </w:pPr>
      <w:rPr>
        <w:rFonts w:ascii="Wingdings" w:hAnsi="Wingdings" w:hint="default"/>
      </w:rPr>
    </w:lvl>
  </w:abstractNum>
  <w:abstractNum w:abstractNumId="16"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7D07579D"/>
    <w:multiLevelType w:val="hybridMultilevel"/>
    <w:tmpl w:val="416ADE22"/>
    <w:lvl w:ilvl="0" w:tplc="0C090001">
      <w:start w:val="1"/>
      <w:numFmt w:val="bullet"/>
      <w:lvlText w:val=""/>
      <w:lvlJc w:val="left"/>
      <w:pPr>
        <w:ind w:left="735" w:hanging="360"/>
      </w:pPr>
      <w:rPr>
        <w:rFonts w:ascii="Symbol" w:hAnsi="Symbol" w:hint="default"/>
      </w:rPr>
    </w:lvl>
    <w:lvl w:ilvl="1" w:tplc="0C090003" w:tentative="1">
      <w:start w:val="1"/>
      <w:numFmt w:val="bullet"/>
      <w:lvlText w:val="o"/>
      <w:lvlJc w:val="left"/>
      <w:pPr>
        <w:ind w:left="1455" w:hanging="360"/>
      </w:pPr>
      <w:rPr>
        <w:rFonts w:ascii="Courier New" w:hAnsi="Courier New" w:cs="Courier New" w:hint="default"/>
      </w:rPr>
    </w:lvl>
    <w:lvl w:ilvl="2" w:tplc="0C090005" w:tentative="1">
      <w:start w:val="1"/>
      <w:numFmt w:val="bullet"/>
      <w:lvlText w:val=""/>
      <w:lvlJc w:val="left"/>
      <w:pPr>
        <w:ind w:left="2175" w:hanging="360"/>
      </w:pPr>
      <w:rPr>
        <w:rFonts w:ascii="Wingdings" w:hAnsi="Wingdings" w:hint="default"/>
      </w:rPr>
    </w:lvl>
    <w:lvl w:ilvl="3" w:tplc="0C090001" w:tentative="1">
      <w:start w:val="1"/>
      <w:numFmt w:val="bullet"/>
      <w:lvlText w:val=""/>
      <w:lvlJc w:val="left"/>
      <w:pPr>
        <w:ind w:left="2895" w:hanging="360"/>
      </w:pPr>
      <w:rPr>
        <w:rFonts w:ascii="Symbol" w:hAnsi="Symbol" w:hint="default"/>
      </w:rPr>
    </w:lvl>
    <w:lvl w:ilvl="4" w:tplc="0C090003" w:tentative="1">
      <w:start w:val="1"/>
      <w:numFmt w:val="bullet"/>
      <w:lvlText w:val="o"/>
      <w:lvlJc w:val="left"/>
      <w:pPr>
        <w:ind w:left="3615" w:hanging="360"/>
      </w:pPr>
      <w:rPr>
        <w:rFonts w:ascii="Courier New" w:hAnsi="Courier New" w:cs="Courier New" w:hint="default"/>
      </w:rPr>
    </w:lvl>
    <w:lvl w:ilvl="5" w:tplc="0C090005" w:tentative="1">
      <w:start w:val="1"/>
      <w:numFmt w:val="bullet"/>
      <w:lvlText w:val=""/>
      <w:lvlJc w:val="left"/>
      <w:pPr>
        <w:ind w:left="4335" w:hanging="360"/>
      </w:pPr>
      <w:rPr>
        <w:rFonts w:ascii="Wingdings" w:hAnsi="Wingdings" w:hint="default"/>
      </w:rPr>
    </w:lvl>
    <w:lvl w:ilvl="6" w:tplc="0C090001" w:tentative="1">
      <w:start w:val="1"/>
      <w:numFmt w:val="bullet"/>
      <w:lvlText w:val=""/>
      <w:lvlJc w:val="left"/>
      <w:pPr>
        <w:ind w:left="5055" w:hanging="360"/>
      </w:pPr>
      <w:rPr>
        <w:rFonts w:ascii="Symbol" w:hAnsi="Symbol" w:hint="default"/>
      </w:rPr>
    </w:lvl>
    <w:lvl w:ilvl="7" w:tplc="0C090003" w:tentative="1">
      <w:start w:val="1"/>
      <w:numFmt w:val="bullet"/>
      <w:lvlText w:val="o"/>
      <w:lvlJc w:val="left"/>
      <w:pPr>
        <w:ind w:left="5775" w:hanging="360"/>
      </w:pPr>
      <w:rPr>
        <w:rFonts w:ascii="Courier New" w:hAnsi="Courier New" w:cs="Courier New" w:hint="default"/>
      </w:rPr>
    </w:lvl>
    <w:lvl w:ilvl="8" w:tplc="0C090005" w:tentative="1">
      <w:start w:val="1"/>
      <w:numFmt w:val="bullet"/>
      <w:lvlText w:val=""/>
      <w:lvlJc w:val="left"/>
      <w:pPr>
        <w:ind w:left="6495" w:hanging="360"/>
      </w:pPr>
      <w:rPr>
        <w:rFonts w:ascii="Wingdings" w:hAnsi="Wingdings" w:hint="default"/>
      </w:rPr>
    </w:lvl>
  </w:abstractNum>
  <w:abstractNum w:abstractNumId="18" w15:restartNumberingAfterBreak="0">
    <w:nsid w:val="7EE44065"/>
    <w:multiLevelType w:val="multilevel"/>
    <w:tmpl w:val="A41689A2"/>
    <w:numStyleLink w:val="AppendixNumbers"/>
  </w:abstractNum>
  <w:abstractNum w:abstractNumId="19"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885481682">
    <w:abstractNumId w:val="19"/>
  </w:num>
  <w:num w:numId="2" w16cid:durableId="709764690">
    <w:abstractNumId w:val="11"/>
  </w:num>
  <w:num w:numId="3" w16cid:durableId="142164143">
    <w:abstractNumId w:val="11"/>
  </w:num>
  <w:num w:numId="4" w16cid:durableId="1158381352">
    <w:abstractNumId w:val="9"/>
  </w:num>
  <w:num w:numId="5" w16cid:durableId="2105416843">
    <w:abstractNumId w:val="9"/>
  </w:num>
  <w:num w:numId="6" w16cid:durableId="491412865">
    <w:abstractNumId w:val="16"/>
  </w:num>
  <w:num w:numId="7" w16cid:durableId="1070150997">
    <w:abstractNumId w:val="16"/>
  </w:num>
  <w:num w:numId="8" w16cid:durableId="2095473806">
    <w:abstractNumId w:val="3"/>
  </w:num>
  <w:num w:numId="9" w16cid:durableId="960039475">
    <w:abstractNumId w:val="0"/>
  </w:num>
  <w:num w:numId="10" w16cid:durableId="1213810782">
    <w:abstractNumId w:val="12"/>
  </w:num>
  <w:num w:numId="11" w16cid:durableId="999507997">
    <w:abstractNumId w:val="1"/>
  </w:num>
  <w:num w:numId="12" w16cid:durableId="991106785">
    <w:abstractNumId w:val="2"/>
  </w:num>
  <w:num w:numId="13" w16cid:durableId="1844390436">
    <w:abstractNumId w:val="13"/>
  </w:num>
  <w:num w:numId="14" w16cid:durableId="1228960154">
    <w:abstractNumId w:val="13"/>
  </w:num>
  <w:num w:numId="15" w16cid:durableId="1083524882">
    <w:abstractNumId w:val="5"/>
  </w:num>
  <w:num w:numId="16" w16cid:durableId="709378581">
    <w:abstractNumId w:val="4"/>
  </w:num>
  <w:num w:numId="17" w16cid:durableId="1198665999">
    <w:abstractNumId w:val="10"/>
  </w:num>
  <w:num w:numId="18" w16cid:durableId="1040395793">
    <w:abstractNumId w:val="6"/>
  </w:num>
  <w:num w:numId="19" w16cid:durableId="583104145">
    <w:abstractNumId w:val="18"/>
  </w:num>
  <w:num w:numId="20" w16cid:durableId="1291282911">
    <w:abstractNumId w:val="14"/>
  </w:num>
  <w:num w:numId="21" w16cid:durableId="1443452407">
    <w:abstractNumId w:val="8"/>
  </w:num>
  <w:num w:numId="22" w16cid:durableId="1635909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72449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6076392">
    <w:abstractNumId w:val="7"/>
  </w:num>
  <w:num w:numId="25" w16cid:durableId="1047607638">
    <w:abstractNumId w:val="15"/>
  </w:num>
  <w:num w:numId="26" w16cid:durableId="143610007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5E"/>
    <w:rsid w:val="00005EDB"/>
    <w:rsid w:val="00015B68"/>
    <w:rsid w:val="000317D8"/>
    <w:rsid w:val="00043B67"/>
    <w:rsid w:val="0004635D"/>
    <w:rsid w:val="0004683C"/>
    <w:rsid w:val="00051566"/>
    <w:rsid w:val="0005264E"/>
    <w:rsid w:val="00054C25"/>
    <w:rsid w:val="00061B60"/>
    <w:rsid w:val="00066BA6"/>
    <w:rsid w:val="0008622C"/>
    <w:rsid w:val="000875B5"/>
    <w:rsid w:val="000A1BD6"/>
    <w:rsid w:val="000A4685"/>
    <w:rsid w:val="000A5D8A"/>
    <w:rsid w:val="000B1EDE"/>
    <w:rsid w:val="000B2294"/>
    <w:rsid w:val="000B7651"/>
    <w:rsid w:val="000C556D"/>
    <w:rsid w:val="000D1B86"/>
    <w:rsid w:val="000D4CF5"/>
    <w:rsid w:val="000D586A"/>
    <w:rsid w:val="000D78D9"/>
    <w:rsid w:val="000F197B"/>
    <w:rsid w:val="00100636"/>
    <w:rsid w:val="001060E2"/>
    <w:rsid w:val="0010770F"/>
    <w:rsid w:val="00107B3D"/>
    <w:rsid w:val="00124439"/>
    <w:rsid w:val="00125519"/>
    <w:rsid w:val="00133DD8"/>
    <w:rsid w:val="001508C3"/>
    <w:rsid w:val="001554AD"/>
    <w:rsid w:val="00156E3F"/>
    <w:rsid w:val="001600D8"/>
    <w:rsid w:val="001603DF"/>
    <w:rsid w:val="00162191"/>
    <w:rsid w:val="0016400B"/>
    <w:rsid w:val="00165C1E"/>
    <w:rsid w:val="00166A05"/>
    <w:rsid w:val="001A3D7C"/>
    <w:rsid w:val="001A51D8"/>
    <w:rsid w:val="001A5B41"/>
    <w:rsid w:val="001B04D1"/>
    <w:rsid w:val="001B1D05"/>
    <w:rsid w:val="001B5BD5"/>
    <w:rsid w:val="001C3170"/>
    <w:rsid w:val="001C55E6"/>
    <w:rsid w:val="001D44B0"/>
    <w:rsid w:val="001D675F"/>
    <w:rsid w:val="001E04F2"/>
    <w:rsid w:val="001E516B"/>
    <w:rsid w:val="001F0F10"/>
    <w:rsid w:val="001F2766"/>
    <w:rsid w:val="00201B68"/>
    <w:rsid w:val="00204292"/>
    <w:rsid w:val="0020432F"/>
    <w:rsid w:val="002112A6"/>
    <w:rsid w:val="0021777D"/>
    <w:rsid w:val="00222CCD"/>
    <w:rsid w:val="0022668B"/>
    <w:rsid w:val="00226F39"/>
    <w:rsid w:val="002308EE"/>
    <w:rsid w:val="0023133C"/>
    <w:rsid w:val="00232F9E"/>
    <w:rsid w:val="00235319"/>
    <w:rsid w:val="00241537"/>
    <w:rsid w:val="0024221E"/>
    <w:rsid w:val="00246402"/>
    <w:rsid w:val="00253BF9"/>
    <w:rsid w:val="00257C2B"/>
    <w:rsid w:val="00262498"/>
    <w:rsid w:val="00262914"/>
    <w:rsid w:val="002634F4"/>
    <w:rsid w:val="00266B5F"/>
    <w:rsid w:val="0027290B"/>
    <w:rsid w:val="00274343"/>
    <w:rsid w:val="002838EF"/>
    <w:rsid w:val="002852AD"/>
    <w:rsid w:val="002A6795"/>
    <w:rsid w:val="002B4C60"/>
    <w:rsid w:val="002C2175"/>
    <w:rsid w:val="002C6982"/>
    <w:rsid w:val="002C79AF"/>
    <w:rsid w:val="002D320F"/>
    <w:rsid w:val="002D7D5C"/>
    <w:rsid w:val="002E1269"/>
    <w:rsid w:val="002E2186"/>
    <w:rsid w:val="002E734F"/>
    <w:rsid w:val="003017A7"/>
    <w:rsid w:val="003025E7"/>
    <w:rsid w:val="0030305E"/>
    <w:rsid w:val="00311B94"/>
    <w:rsid w:val="003120CE"/>
    <w:rsid w:val="00323BE7"/>
    <w:rsid w:val="00323D95"/>
    <w:rsid w:val="003369FE"/>
    <w:rsid w:val="00337267"/>
    <w:rsid w:val="003412BD"/>
    <w:rsid w:val="003422F3"/>
    <w:rsid w:val="0034426F"/>
    <w:rsid w:val="003449A0"/>
    <w:rsid w:val="00345952"/>
    <w:rsid w:val="00350E12"/>
    <w:rsid w:val="003524D0"/>
    <w:rsid w:val="00356B5F"/>
    <w:rsid w:val="00362BA7"/>
    <w:rsid w:val="0036615A"/>
    <w:rsid w:val="003707A6"/>
    <w:rsid w:val="00371F4C"/>
    <w:rsid w:val="003809D6"/>
    <w:rsid w:val="00393599"/>
    <w:rsid w:val="0039643D"/>
    <w:rsid w:val="00397E79"/>
    <w:rsid w:val="003A2915"/>
    <w:rsid w:val="003A4B5C"/>
    <w:rsid w:val="003A7A4E"/>
    <w:rsid w:val="003A7CB0"/>
    <w:rsid w:val="003A7D10"/>
    <w:rsid w:val="003B2CC6"/>
    <w:rsid w:val="003B3DE8"/>
    <w:rsid w:val="003C3635"/>
    <w:rsid w:val="003C5A56"/>
    <w:rsid w:val="003D12CA"/>
    <w:rsid w:val="003D1E0E"/>
    <w:rsid w:val="003D48D8"/>
    <w:rsid w:val="003E4045"/>
    <w:rsid w:val="003E5164"/>
    <w:rsid w:val="003E5549"/>
    <w:rsid w:val="003F759C"/>
    <w:rsid w:val="004039F1"/>
    <w:rsid w:val="004043A6"/>
    <w:rsid w:val="00405653"/>
    <w:rsid w:val="00417D7A"/>
    <w:rsid w:val="00426F95"/>
    <w:rsid w:val="00437279"/>
    <w:rsid w:val="004439BA"/>
    <w:rsid w:val="00460535"/>
    <w:rsid w:val="004637A4"/>
    <w:rsid w:val="00472455"/>
    <w:rsid w:val="004816E8"/>
    <w:rsid w:val="00497B5D"/>
    <w:rsid w:val="004A4D69"/>
    <w:rsid w:val="004E0E42"/>
    <w:rsid w:val="004E1EFF"/>
    <w:rsid w:val="004E7DFB"/>
    <w:rsid w:val="005100DD"/>
    <w:rsid w:val="00512E92"/>
    <w:rsid w:val="00513C0A"/>
    <w:rsid w:val="0052435A"/>
    <w:rsid w:val="00532C18"/>
    <w:rsid w:val="005409FB"/>
    <w:rsid w:val="0054535C"/>
    <w:rsid w:val="00547DAE"/>
    <w:rsid w:val="00550A41"/>
    <w:rsid w:val="00550EFC"/>
    <w:rsid w:val="00554943"/>
    <w:rsid w:val="005554BA"/>
    <w:rsid w:val="005556E7"/>
    <w:rsid w:val="00567F17"/>
    <w:rsid w:val="00576109"/>
    <w:rsid w:val="00576701"/>
    <w:rsid w:val="00577DCE"/>
    <w:rsid w:val="005863F5"/>
    <w:rsid w:val="005A375E"/>
    <w:rsid w:val="005A6C26"/>
    <w:rsid w:val="005B218C"/>
    <w:rsid w:val="005B2C88"/>
    <w:rsid w:val="005B511B"/>
    <w:rsid w:val="005C273A"/>
    <w:rsid w:val="005D2E97"/>
    <w:rsid w:val="005D3213"/>
    <w:rsid w:val="005D507B"/>
    <w:rsid w:val="005E15B3"/>
    <w:rsid w:val="005F4738"/>
    <w:rsid w:val="00617D03"/>
    <w:rsid w:val="00626672"/>
    <w:rsid w:val="006300B5"/>
    <w:rsid w:val="00630453"/>
    <w:rsid w:val="00642082"/>
    <w:rsid w:val="00643E62"/>
    <w:rsid w:val="006615EB"/>
    <w:rsid w:val="00665D5F"/>
    <w:rsid w:val="0066672E"/>
    <w:rsid w:val="00667699"/>
    <w:rsid w:val="00673332"/>
    <w:rsid w:val="00674CB1"/>
    <w:rsid w:val="00675C9D"/>
    <w:rsid w:val="00675E26"/>
    <w:rsid w:val="006821D1"/>
    <w:rsid w:val="00686360"/>
    <w:rsid w:val="006903AF"/>
    <w:rsid w:val="00692251"/>
    <w:rsid w:val="006A23BE"/>
    <w:rsid w:val="006C6595"/>
    <w:rsid w:val="006D7CE6"/>
    <w:rsid w:val="006E489A"/>
    <w:rsid w:val="006E4A9D"/>
    <w:rsid w:val="006F50DA"/>
    <w:rsid w:val="006F73E8"/>
    <w:rsid w:val="007043D8"/>
    <w:rsid w:val="0070647B"/>
    <w:rsid w:val="00707AA7"/>
    <w:rsid w:val="00717872"/>
    <w:rsid w:val="00717AF0"/>
    <w:rsid w:val="007221BB"/>
    <w:rsid w:val="00731858"/>
    <w:rsid w:val="007473F6"/>
    <w:rsid w:val="007508C5"/>
    <w:rsid w:val="00760DB7"/>
    <w:rsid w:val="007623B1"/>
    <w:rsid w:val="007649BC"/>
    <w:rsid w:val="00770E56"/>
    <w:rsid w:val="0078555D"/>
    <w:rsid w:val="0078602C"/>
    <w:rsid w:val="007865E9"/>
    <w:rsid w:val="00792E9E"/>
    <w:rsid w:val="007A2378"/>
    <w:rsid w:val="007A386A"/>
    <w:rsid w:val="007A53A0"/>
    <w:rsid w:val="007B07CA"/>
    <w:rsid w:val="007C6694"/>
    <w:rsid w:val="007D004C"/>
    <w:rsid w:val="007E430C"/>
    <w:rsid w:val="007E4D3A"/>
    <w:rsid w:val="007F62E2"/>
    <w:rsid w:val="00803920"/>
    <w:rsid w:val="00804A74"/>
    <w:rsid w:val="008070E0"/>
    <w:rsid w:val="00812D89"/>
    <w:rsid w:val="0081613D"/>
    <w:rsid w:val="008167C6"/>
    <w:rsid w:val="00820307"/>
    <w:rsid w:val="008300FA"/>
    <w:rsid w:val="00837040"/>
    <w:rsid w:val="0083783F"/>
    <w:rsid w:val="0084525E"/>
    <w:rsid w:val="00855DBE"/>
    <w:rsid w:val="0085636F"/>
    <w:rsid w:val="00860794"/>
    <w:rsid w:val="00885DF0"/>
    <w:rsid w:val="008931ED"/>
    <w:rsid w:val="0089443D"/>
    <w:rsid w:val="008C2DC8"/>
    <w:rsid w:val="008D14EC"/>
    <w:rsid w:val="008D49BC"/>
    <w:rsid w:val="008F5C36"/>
    <w:rsid w:val="009039A4"/>
    <w:rsid w:val="009046B2"/>
    <w:rsid w:val="009139AE"/>
    <w:rsid w:val="0092176E"/>
    <w:rsid w:val="009337BF"/>
    <w:rsid w:val="00950D92"/>
    <w:rsid w:val="00963743"/>
    <w:rsid w:val="00966CF6"/>
    <w:rsid w:val="0098510A"/>
    <w:rsid w:val="00990A10"/>
    <w:rsid w:val="00995AB1"/>
    <w:rsid w:val="00997C5A"/>
    <w:rsid w:val="009C0399"/>
    <w:rsid w:val="009C2371"/>
    <w:rsid w:val="009C6BD7"/>
    <w:rsid w:val="009E3649"/>
    <w:rsid w:val="009E44F0"/>
    <w:rsid w:val="009F233E"/>
    <w:rsid w:val="009F4644"/>
    <w:rsid w:val="00A03C7B"/>
    <w:rsid w:val="00A10D32"/>
    <w:rsid w:val="00A11335"/>
    <w:rsid w:val="00A27905"/>
    <w:rsid w:val="00A512AD"/>
    <w:rsid w:val="00A63C6A"/>
    <w:rsid w:val="00A6518C"/>
    <w:rsid w:val="00A7117A"/>
    <w:rsid w:val="00A73D0D"/>
    <w:rsid w:val="00A75AC7"/>
    <w:rsid w:val="00A83340"/>
    <w:rsid w:val="00A8475F"/>
    <w:rsid w:val="00A85248"/>
    <w:rsid w:val="00A976BA"/>
    <w:rsid w:val="00AA3198"/>
    <w:rsid w:val="00AC54D6"/>
    <w:rsid w:val="00AD5594"/>
    <w:rsid w:val="00AE5972"/>
    <w:rsid w:val="00AF12A0"/>
    <w:rsid w:val="00B32184"/>
    <w:rsid w:val="00B40AC1"/>
    <w:rsid w:val="00B4353C"/>
    <w:rsid w:val="00B52199"/>
    <w:rsid w:val="00B64CC7"/>
    <w:rsid w:val="00B7158C"/>
    <w:rsid w:val="00B82594"/>
    <w:rsid w:val="00B83416"/>
    <w:rsid w:val="00B872FB"/>
    <w:rsid w:val="00BB06B1"/>
    <w:rsid w:val="00BB6B73"/>
    <w:rsid w:val="00BB77AC"/>
    <w:rsid w:val="00BC75EB"/>
    <w:rsid w:val="00BD099D"/>
    <w:rsid w:val="00BD1CAA"/>
    <w:rsid w:val="00BD2D3E"/>
    <w:rsid w:val="00BD3DCA"/>
    <w:rsid w:val="00BE13B6"/>
    <w:rsid w:val="00BE1611"/>
    <w:rsid w:val="00BE1E89"/>
    <w:rsid w:val="00BE26AB"/>
    <w:rsid w:val="00BF4C58"/>
    <w:rsid w:val="00BF7429"/>
    <w:rsid w:val="00C023FA"/>
    <w:rsid w:val="00C0677D"/>
    <w:rsid w:val="00C15385"/>
    <w:rsid w:val="00C22D88"/>
    <w:rsid w:val="00C352F3"/>
    <w:rsid w:val="00C3651C"/>
    <w:rsid w:val="00C47711"/>
    <w:rsid w:val="00C5011A"/>
    <w:rsid w:val="00C5078B"/>
    <w:rsid w:val="00C616F9"/>
    <w:rsid w:val="00C7080E"/>
    <w:rsid w:val="00C81296"/>
    <w:rsid w:val="00C827E5"/>
    <w:rsid w:val="00C85112"/>
    <w:rsid w:val="00C85325"/>
    <w:rsid w:val="00C85F40"/>
    <w:rsid w:val="00C86846"/>
    <w:rsid w:val="00C86CE1"/>
    <w:rsid w:val="00C871CD"/>
    <w:rsid w:val="00C93189"/>
    <w:rsid w:val="00C95F9B"/>
    <w:rsid w:val="00CA46A3"/>
    <w:rsid w:val="00CA7319"/>
    <w:rsid w:val="00CB0392"/>
    <w:rsid w:val="00CB70C4"/>
    <w:rsid w:val="00CC39DC"/>
    <w:rsid w:val="00CD5DEA"/>
    <w:rsid w:val="00CD6A5C"/>
    <w:rsid w:val="00CF48EA"/>
    <w:rsid w:val="00CF7C38"/>
    <w:rsid w:val="00D001B1"/>
    <w:rsid w:val="00D077CA"/>
    <w:rsid w:val="00D1677F"/>
    <w:rsid w:val="00D41C85"/>
    <w:rsid w:val="00D42814"/>
    <w:rsid w:val="00D443ED"/>
    <w:rsid w:val="00D444F2"/>
    <w:rsid w:val="00D52095"/>
    <w:rsid w:val="00D558CD"/>
    <w:rsid w:val="00D609CC"/>
    <w:rsid w:val="00D61222"/>
    <w:rsid w:val="00D71500"/>
    <w:rsid w:val="00D728C4"/>
    <w:rsid w:val="00D73699"/>
    <w:rsid w:val="00D74F98"/>
    <w:rsid w:val="00D8154D"/>
    <w:rsid w:val="00D922D7"/>
    <w:rsid w:val="00DB1F37"/>
    <w:rsid w:val="00DB1FE3"/>
    <w:rsid w:val="00DB2028"/>
    <w:rsid w:val="00DB6AAF"/>
    <w:rsid w:val="00DC1D11"/>
    <w:rsid w:val="00DC5EAF"/>
    <w:rsid w:val="00DD1806"/>
    <w:rsid w:val="00DD5041"/>
    <w:rsid w:val="00DE1EEB"/>
    <w:rsid w:val="00DE58F0"/>
    <w:rsid w:val="00DF74BA"/>
    <w:rsid w:val="00E20C50"/>
    <w:rsid w:val="00E21A98"/>
    <w:rsid w:val="00E36ADF"/>
    <w:rsid w:val="00E370D8"/>
    <w:rsid w:val="00E544E6"/>
    <w:rsid w:val="00E57292"/>
    <w:rsid w:val="00E71E2D"/>
    <w:rsid w:val="00E82F58"/>
    <w:rsid w:val="00E85498"/>
    <w:rsid w:val="00E96A74"/>
    <w:rsid w:val="00EB2546"/>
    <w:rsid w:val="00EC12EB"/>
    <w:rsid w:val="00EC459E"/>
    <w:rsid w:val="00ED0B71"/>
    <w:rsid w:val="00ED2134"/>
    <w:rsid w:val="00EE0935"/>
    <w:rsid w:val="00EF129E"/>
    <w:rsid w:val="00EF1CD1"/>
    <w:rsid w:val="00EF77EC"/>
    <w:rsid w:val="00EF7B18"/>
    <w:rsid w:val="00F06A57"/>
    <w:rsid w:val="00F305AE"/>
    <w:rsid w:val="00F30EAB"/>
    <w:rsid w:val="00F3356A"/>
    <w:rsid w:val="00F5067C"/>
    <w:rsid w:val="00F51AB5"/>
    <w:rsid w:val="00F55A67"/>
    <w:rsid w:val="00F7060D"/>
    <w:rsid w:val="00F74D4D"/>
    <w:rsid w:val="00F91BCA"/>
    <w:rsid w:val="00F92B83"/>
    <w:rsid w:val="00FB0F8E"/>
    <w:rsid w:val="00FB3E83"/>
    <w:rsid w:val="00FC1644"/>
    <w:rsid w:val="00FD1645"/>
    <w:rsid w:val="00FD58CD"/>
    <w:rsid w:val="00FE2C18"/>
    <w:rsid w:val="00FE634E"/>
    <w:rsid w:val="00FF0527"/>
    <w:rsid w:val="00FF1796"/>
    <w:rsid w:val="00FF2B3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F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05E"/>
    <w:pPr>
      <w:spacing w:line="280" w:lineRule="atLeast"/>
    </w:pPr>
    <w:rPr>
      <w:rFonts w:ascii="Gotham Book" w:hAnsi="Gotham Book"/>
      <w:sz w:val="20"/>
    </w:rPr>
  </w:style>
  <w:style w:type="paragraph" w:styleId="Heading1">
    <w:name w:val="heading 1"/>
    <w:basedOn w:val="Title"/>
    <w:next w:val="Normal"/>
    <w:link w:val="Heading1Char"/>
    <w:uiPriority w:val="9"/>
    <w:qFormat/>
    <w:rsid w:val="00BD2D3E"/>
    <w:pPr>
      <w:ind w:left="0"/>
    </w:pPr>
  </w:style>
  <w:style w:type="paragraph" w:styleId="Heading2">
    <w:name w:val="heading 2"/>
    <w:basedOn w:val="Heading1"/>
    <w:next w:val="Normal"/>
    <w:link w:val="Heading2Char"/>
    <w:uiPriority w:val="9"/>
    <w:qFormat/>
    <w:rsid w:val="00C352F3"/>
    <w:pPr>
      <w:keepNext/>
      <w:pBdr>
        <w:bottom w:val="single" w:sz="4" w:space="12" w:color="CCCCCF" w:themeColor="accent5" w:themeTint="66"/>
      </w:pBdr>
      <w:spacing w:before="360" w:after="120" w:line="420" w:lineRule="atLeast"/>
      <w:outlineLvl w:val="1"/>
    </w:pPr>
    <w:rPr>
      <w:kern w:val="0"/>
      <w:sz w:val="36"/>
      <w:szCs w:val="32"/>
    </w:rPr>
  </w:style>
  <w:style w:type="paragraph" w:styleId="Heading3">
    <w:name w:val="heading 3"/>
    <w:basedOn w:val="Normal"/>
    <w:next w:val="Normal"/>
    <w:link w:val="Heading3Char"/>
    <w:uiPriority w:val="9"/>
    <w:qFormat/>
    <w:rsid w:val="00C352F3"/>
    <w:pPr>
      <w:keepNext/>
      <w:keepLines/>
      <w:spacing w:before="240" w:after="120"/>
      <w:outlineLvl w:val="2"/>
    </w:pPr>
    <w:rPr>
      <w:rFonts w:ascii="Gotham Medium" w:eastAsiaTheme="majorEastAsia" w:hAnsi="Gotham Medium" w:cstheme="majorBidi"/>
      <w:color w:val="09002E" w:themeColor="text2"/>
      <w:sz w:val="28"/>
      <w:szCs w:val="28"/>
    </w:rPr>
  </w:style>
  <w:style w:type="paragraph" w:styleId="Heading4">
    <w:name w:val="heading 4"/>
    <w:basedOn w:val="Normal"/>
    <w:next w:val="Normal"/>
    <w:link w:val="Heading4Char"/>
    <w:uiPriority w:val="9"/>
    <w:unhideWhenUsed/>
    <w:qFormat/>
    <w:rsid w:val="00C352F3"/>
    <w:pPr>
      <w:keepNext/>
      <w:keepLines/>
      <w:spacing w:before="240" w:after="120"/>
      <w:outlineLvl w:val="3"/>
    </w:pPr>
    <w:rPr>
      <w:rFonts w:ascii="Gotham Medium" w:eastAsiaTheme="majorEastAsia" w:hAnsi="Gotham Medium" w:cstheme="majorBidi"/>
      <w:color w:val="09002E" w:themeColor="text2"/>
      <w:sz w:val="24"/>
      <w:szCs w:val="24"/>
    </w:rPr>
  </w:style>
  <w:style w:type="paragraph" w:styleId="Heading5">
    <w:name w:val="heading 5"/>
    <w:basedOn w:val="Heading4"/>
    <w:next w:val="Normal"/>
    <w:link w:val="Heading5Char"/>
    <w:uiPriority w:val="9"/>
    <w:unhideWhenUsed/>
    <w:rsid w:val="00FB3E83"/>
    <w:pPr>
      <w:outlineLvl w:val="4"/>
    </w:pPr>
    <w:rPr>
      <w:i/>
      <w:iCs/>
      <w:sz w:val="20"/>
      <w:szCs w:val="20"/>
    </w:rPr>
  </w:style>
  <w:style w:type="paragraph" w:styleId="Heading6">
    <w:name w:val="heading 6"/>
    <w:basedOn w:val="Heading5"/>
    <w:next w:val="Normal"/>
    <w:link w:val="Heading6Char"/>
    <w:uiPriority w:val="9"/>
    <w:unhideWhenUsed/>
    <w:qFormat/>
    <w:rsid w:val="00C352F3"/>
    <w:pPr>
      <w:spacing w:after="0"/>
      <w:outlineLvl w:val="5"/>
    </w:pPr>
    <w:rPr>
      <w:rFonts w:ascii="Gotham Book" w:hAnsi="Gotham Book"/>
    </w:rPr>
  </w:style>
  <w:style w:type="paragraph" w:styleId="Heading7">
    <w:name w:val="heading 7"/>
    <w:basedOn w:val="Normal"/>
    <w:next w:val="Normal"/>
    <w:link w:val="Heading7Char"/>
    <w:uiPriority w:val="9"/>
    <w:unhideWhenUsed/>
    <w:rsid w:val="00FB3E83"/>
    <w:pPr>
      <w:keepNext/>
      <w:keepLines/>
      <w:numPr>
        <w:ilvl w:val="6"/>
        <w:numId w:val="21"/>
      </w:numPr>
      <w:outlineLvl w:val="6"/>
    </w:pPr>
    <w:rPr>
      <w:rFonts w:eastAsiaTheme="majorEastAsia" w:cstheme="majorBidi"/>
      <w:i/>
      <w:iCs/>
    </w:rPr>
  </w:style>
  <w:style w:type="paragraph" w:styleId="Heading8">
    <w:name w:val="heading 8"/>
    <w:basedOn w:val="Normal"/>
    <w:next w:val="Normal"/>
    <w:link w:val="Heading8Char"/>
    <w:semiHidden/>
    <w:unhideWhenUsed/>
    <w:qFormat/>
    <w:rsid w:val="00FB3E83"/>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B3E83"/>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E2186"/>
    <w:pPr>
      <w:numPr>
        <w:numId w:val="18"/>
      </w:numPr>
      <w:ind w:left="284" w:hanging="284"/>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BD2D3E"/>
    <w:rPr>
      <w:rFonts w:ascii="Gotham Medium" w:eastAsiaTheme="majorEastAsia" w:hAnsi="Gotham Medium" w:cstheme="majorBidi"/>
      <w:color w:val="09002E" w:themeColor="text2"/>
      <w:kern w:val="28"/>
      <w:sz w:val="48"/>
      <w:szCs w:val="56"/>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C352F3"/>
    <w:rPr>
      <w:rFonts w:ascii="Gotham Medium" w:eastAsiaTheme="majorEastAsia" w:hAnsi="Gotham Medium" w:cstheme="majorBidi"/>
      <w:color w:val="09002E" w:themeColor="text2"/>
      <w:sz w:val="36"/>
      <w:szCs w:val="32"/>
    </w:rPr>
  </w:style>
  <w:style w:type="paragraph" w:customStyle="1" w:styleId="AppendixNumbered">
    <w:name w:val="Appendix Numbered"/>
    <w:basedOn w:val="Heading3"/>
    <w:uiPriority w:val="11"/>
    <w:qFormat/>
    <w:rsid w:val="00D444F2"/>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next w:val="Normal"/>
    <w:uiPriority w:val="12"/>
    <w:qFormat/>
    <w:rsid w:val="00133DD8"/>
    <w:pPr>
      <w:keepNext/>
      <w:numPr>
        <w:numId w:val="9"/>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style>
  <w:style w:type="paragraph" w:customStyle="1" w:styleId="Heading2noline">
    <w:name w:val="Heading 2 no line"/>
    <w:basedOn w:val="Heading2"/>
    <w:uiPriority w:val="9"/>
    <w:qFormat/>
    <w:rsid w:val="00BD2D3E"/>
    <w:pPr>
      <w:pBdr>
        <w:bottom w:val="none" w:sz="0" w:space="0" w:color="auto"/>
      </w:pBdr>
      <w:spacing w:line="360" w:lineRule="atLeast"/>
    </w:pPr>
    <w:rPr>
      <w:sz w:val="32"/>
    </w:rPr>
  </w:style>
  <w:style w:type="paragraph" w:customStyle="1" w:styleId="Heading2Numbered">
    <w:name w:val="Heading 2 Numbered"/>
    <w:basedOn w:val="Heading1Numbered"/>
    <w:uiPriority w:val="10"/>
    <w:qFormat/>
    <w:rsid w:val="00B52199"/>
    <w:pPr>
      <w:numPr>
        <w:numId w:val="20"/>
      </w:numPr>
      <w:tabs>
        <w:tab w:val="left" w:pos="1134"/>
      </w:tabs>
      <w:ind w:left="1134" w:hanging="1134"/>
      <w:outlineLvl w:val="1"/>
    </w:pPr>
    <w:rPr>
      <w:sz w:val="36"/>
    </w:rPr>
  </w:style>
  <w:style w:type="character" w:customStyle="1" w:styleId="Heading3Char">
    <w:name w:val="Heading 3 Char"/>
    <w:basedOn w:val="DefaultParagraphFont"/>
    <w:link w:val="Heading3"/>
    <w:uiPriority w:val="9"/>
    <w:rsid w:val="00C352F3"/>
    <w:rPr>
      <w:rFonts w:ascii="Gotham Medium" w:eastAsiaTheme="majorEastAsia" w:hAnsi="Gotham Medium" w:cstheme="majorBidi"/>
      <w:color w:val="09002E" w:themeColor="text2"/>
      <w:sz w:val="28"/>
      <w:szCs w:val="28"/>
    </w:rPr>
  </w:style>
  <w:style w:type="paragraph" w:customStyle="1" w:styleId="Heading3Numbered">
    <w:name w:val="Heading 3 Numbered"/>
    <w:basedOn w:val="Heading2Numbered"/>
    <w:uiPriority w:val="10"/>
    <w:qFormat/>
    <w:rsid w:val="00B52199"/>
    <w:pPr>
      <w:numPr>
        <w:ilvl w:val="1"/>
      </w:numPr>
      <w:ind w:left="1134" w:hanging="1134"/>
    </w:pPr>
    <w:rPr>
      <w:sz w:val="32"/>
      <w:szCs w:val="36"/>
    </w:rPr>
  </w:style>
  <w:style w:type="character" w:customStyle="1" w:styleId="Heading4Char">
    <w:name w:val="Heading 4 Char"/>
    <w:basedOn w:val="DefaultParagraphFont"/>
    <w:link w:val="Heading4"/>
    <w:uiPriority w:val="9"/>
    <w:rsid w:val="00C352F3"/>
    <w:rPr>
      <w:rFonts w:ascii="Gotham Medium" w:eastAsiaTheme="majorEastAsia" w:hAnsi="Gotham Medium" w:cstheme="majorBidi"/>
      <w:color w:val="09002E" w:themeColor="text2"/>
      <w:sz w:val="24"/>
      <w:szCs w:val="24"/>
    </w:rPr>
  </w:style>
  <w:style w:type="paragraph" w:customStyle="1" w:styleId="Heading4Numbered">
    <w:name w:val="Heading 4 Numbered"/>
    <w:basedOn w:val="Heading1Numbered"/>
    <w:uiPriority w:val="10"/>
    <w:unhideWhenUsed/>
    <w:qFormat/>
    <w:rsid w:val="00B52199"/>
    <w:pPr>
      <w:numPr>
        <w:ilvl w:val="2"/>
        <w:numId w:val="20"/>
      </w:numPr>
      <w:tabs>
        <w:tab w:val="left" w:pos="1134"/>
      </w:tabs>
      <w:ind w:left="1134" w:hanging="1134"/>
      <w:outlineLvl w:val="3"/>
    </w:pPr>
    <w:rPr>
      <w:sz w:val="28"/>
      <w:szCs w:val="28"/>
    </w:rPr>
  </w:style>
  <w:style w:type="character" w:customStyle="1" w:styleId="Heading5Char">
    <w:name w:val="Heading 5 Char"/>
    <w:basedOn w:val="DefaultParagraphFont"/>
    <w:link w:val="Heading5"/>
    <w:uiPriority w:val="9"/>
    <w:rsid w:val="00FB3E83"/>
    <w:rPr>
      <w:rFonts w:ascii="Gotham Medium" w:eastAsiaTheme="majorEastAsia" w:hAnsi="Gotham Medium" w:cstheme="majorBidi"/>
      <w:i/>
      <w:iCs/>
      <w:color w:val="09002E" w:themeColor="text2"/>
      <w:sz w:val="20"/>
      <w:szCs w:val="20"/>
    </w:rPr>
  </w:style>
  <w:style w:type="paragraph" w:customStyle="1" w:styleId="Heading5Numbered">
    <w:name w:val="Heading 5 Numbered"/>
    <w:basedOn w:val="Heading4Numbered"/>
    <w:next w:val="Normal"/>
    <w:link w:val="Heading5NumberedChar"/>
    <w:uiPriority w:val="10"/>
    <w:unhideWhenUsed/>
    <w:qFormat/>
    <w:rsid w:val="00B52199"/>
    <w:pPr>
      <w:keepNext/>
      <w:keepLines w:val="0"/>
      <w:numPr>
        <w:ilvl w:val="3"/>
      </w:numPr>
      <w:spacing w:before="240" w:after="120" w:line="400" w:lineRule="atLeast"/>
      <w:ind w:left="1134" w:hanging="1134"/>
      <w:contextualSpacing w:val="0"/>
      <w:outlineLvl w:val="4"/>
    </w:pPr>
    <w:rPr>
      <w:sz w:val="24"/>
      <w:szCs w:val="24"/>
    </w:rPr>
  </w:style>
  <w:style w:type="character" w:customStyle="1" w:styleId="Heading6Char">
    <w:name w:val="Heading 6 Char"/>
    <w:basedOn w:val="DefaultParagraphFont"/>
    <w:link w:val="Heading6"/>
    <w:uiPriority w:val="9"/>
    <w:rsid w:val="00C352F3"/>
    <w:rPr>
      <w:rFonts w:ascii="Gotham Book" w:eastAsiaTheme="majorEastAsia" w:hAnsi="Gotham Book" w:cstheme="majorBidi"/>
      <w:i/>
      <w:iCs/>
      <w:color w:val="09002E" w:themeColor="text2"/>
      <w:sz w:val="20"/>
      <w:szCs w:val="20"/>
    </w:rPr>
  </w:style>
  <w:style w:type="paragraph" w:customStyle="1" w:styleId="Heading6Numbered">
    <w:name w:val="Heading 6 Numbered"/>
    <w:basedOn w:val="Heading5Numbered"/>
    <w:next w:val="Normal"/>
    <w:uiPriority w:val="10"/>
    <w:unhideWhenUsed/>
    <w:rsid w:val="00B52199"/>
    <w:pPr>
      <w:keepNext w:val="0"/>
      <w:numPr>
        <w:ilvl w:val="4"/>
      </w:numPr>
      <w:ind w:left="1134" w:hanging="1134"/>
      <w:outlineLvl w:val="5"/>
    </w:pPr>
    <w:rPr>
      <w:sz w:val="22"/>
    </w:rPr>
  </w:style>
  <w:style w:type="character" w:customStyle="1" w:styleId="Heading7Char">
    <w:name w:val="Heading 7 Char"/>
    <w:basedOn w:val="DefaultParagraphFont"/>
    <w:link w:val="Heading7"/>
    <w:uiPriority w:val="9"/>
    <w:rsid w:val="00FB3E83"/>
    <w:rPr>
      <w:rFonts w:ascii="Gotham Book" w:eastAsiaTheme="majorEastAsia" w:hAnsi="Gotham Book" w:cstheme="majorBidi"/>
      <w:i/>
      <w:iCs/>
      <w:sz w:val="20"/>
    </w:rPr>
  </w:style>
  <w:style w:type="paragraph" w:customStyle="1" w:styleId="Heading7Numbered">
    <w:name w:val="Heading 7 Numbered"/>
    <w:basedOn w:val="Heading7"/>
    <w:uiPriority w:val="10"/>
    <w:unhideWhenUsed/>
    <w:rsid w:val="00C352F3"/>
    <w:pPr>
      <w:tabs>
        <w:tab w:val="left" w:pos="1134"/>
      </w:tabs>
      <w:ind w:left="1134" w:hanging="1134"/>
    </w:pPr>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4"/>
      </w:numPr>
    </w:pPr>
  </w:style>
  <w:style w:type="paragraph" w:customStyle="1" w:styleId="List1Numbered2">
    <w:name w:val="List 1 Numbered 2"/>
    <w:basedOn w:val="Normal"/>
    <w:uiPriority w:val="2"/>
    <w:qFormat/>
    <w:rsid w:val="0022668B"/>
    <w:pPr>
      <w:numPr>
        <w:ilvl w:val="1"/>
        <w:numId w:val="14"/>
      </w:numPr>
    </w:pPr>
  </w:style>
  <w:style w:type="paragraph" w:customStyle="1" w:styleId="List1Numbered3">
    <w:name w:val="List 1 Numbered 3"/>
    <w:basedOn w:val="Normal"/>
    <w:uiPriority w:val="2"/>
    <w:qFormat/>
    <w:rsid w:val="0022668B"/>
    <w:pPr>
      <w:numPr>
        <w:ilvl w:val="2"/>
        <w:numId w:val="14"/>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770E56"/>
    <w:pPr>
      <w:keepLines/>
      <w:numPr>
        <w:ilvl w:val="1"/>
      </w:numPr>
      <w:spacing w:after="480" w:line="320" w:lineRule="atLeast"/>
      <w:contextualSpacing/>
    </w:pPr>
    <w:rPr>
      <w:color w:val="09002E" w:themeColor="text2"/>
      <w:sz w:val="32"/>
      <w:szCs w:val="22"/>
    </w:rPr>
  </w:style>
  <w:style w:type="character" w:customStyle="1" w:styleId="SubtitleChar">
    <w:name w:val="Subtitle Char"/>
    <w:basedOn w:val="DefaultParagraphFont"/>
    <w:link w:val="Subtitle"/>
    <w:uiPriority w:val="23"/>
    <w:rsid w:val="00770E56"/>
    <w:rPr>
      <w:rFonts w:ascii="Gotham Book" w:hAnsi="Gotham Book"/>
      <w:color w:val="09002E" w:themeColor="text2"/>
      <w:sz w:val="32"/>
      <w:szCs w:val="22"/>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D444F2"/>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character" w:customStyle="1" w:styleId="Heading5NumberedChar">
    <w:name w:val="Heading 5 Numbered Char"/>
    <w:basedOn w:val="DefaultParagraphFont"/>
    <w:link w:val="Heading5Numbered"/>
    <w:uiPriority w:val="10"/>
    <w:rsid w:val="00B52199"/>
    <w:rPr>
      <w:rFonts w:ascii="Gotham Medium" w:eastAsiaTheme="majorEastAsia" w:hAnsi="Gotham Medium" w:cstheme="majorBidi"/>
      <w:color w:val="09002E" w:themeColor="text2"/>
      <w:kern w:val="28"/>
      <w:sz w:val="24"/>
      <w:szCs w:val="24"/>
    </w:rPr>
  </w:style>
  <w:style w:type="character" w:customStyle="1" w:styleId="Heading8Char">
    <w:name w:val="Heading 8 Char"/>
    <w:basedOn w:val="DefaultParagraphFont"/>
    <w:link w:val="Heading8"/>
    <w:semiHidden/>
    <w:rsid w:val="00FB3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B3E83"/>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FB3E83"/>
    <w:rPr>
      <w:color w:val="605E5C"/>
      <w:shd w:val="clear" w:color="auto" w:fill="E1DFDD"/>
    </w:rPr>
  </w:style>
  <w:style w:type="paragraph" w:customStyle="1" w:styleId="Figure">
    <w:name w:val="Figure"/>
    <w:basedOn w:val="Normal"/>
    <w:next w:val="Normal"/>
    <w:qFormat/>
    <w:rsid w:val="00FB3E83"/>
    <w:rPr>
      <w:noProof/>
    </w:rPr>
  </w:style>
  <w:style w:type="paragraph" w:customStyle="1" w:styleId="Heading2numberedwithline">
    <w:name w:val="Heading 2 numbered with line"/>
    <w:basedOn w:val="Heading2Numbered"/>
    <w:qFormat/>
    <w:rsid w:val="00B52199"/>
    <w:pPr>
      <w:pBdr>
        <w:bottom w:val="single" w:sz="4" w:space="12" w:color="CCCCCF"/>
      </w:pBdr>
    </w:pPr>
  </w:style>
  <w:style w:type="character" w:styleId="BookTitle">
    <w:name w:val="Book Title"/>
    <w:basedOn w:val="DefaultParagraphFont"/>
    <w:uiPriority w:val="33"/>
    <w:rsid w:val="00B5219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gov.au/integrity/publications/australian-government-investigation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hmrc.gov.au/about-us/resources/nhmrc-research-integrity-and-misconduct-policy" TargetMode="External"/><Relationship Id="rId4" Type="http://schemas.openxmlformats.org/officeDocument/2006/relationships/settings" Target="settings.xml"/><Relationship Id="rId9" Type="http://schemas.openxmlformats.org/officeDocument/2006/relationships/hyperlink" Target="https://www.nhmrc.gov.au/about-us/resources/nhmrc-research-integrity-and-misconduct-polic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843C9-2E60-4223-BE8D-16E16655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6092</Characters>
  <Application>Microsoft Office Word</Application>
  <DocSecurity>0</DocSecurity>
  <Lines>98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NHMRC research funding – responding to fraud</dc:title>
  <dc:subject/>
  <dc:creator/>
  <cp:keywords/>
  <cp:lastModifiedBy/>
  <cp:revision>1</cp:revision>
  <dcterms:created xsi:type="dcterms:W3CDTF">2026-07-14T01:21:00Z</dcterms:created>
  <dcterms:modified xsi:type="dcterms:W3CDTF">2026-07-21T03:09:00Z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7d06cc1e,1e37a283,33e923d7</vt:lpwstr>
  </property>
  <property fmtid="{D5CDD505-2E9C-101B-9397-08002B2CF9AE}" pid="3" name="ClassificationContentMarkingHeaderFontProps">
    <vt:lpwstr>#000000,10,Aptos</vt:lpwstr>
  </property>
  <property fmtid="{D5CDD505-2E9C-101B-9397-08002B2CF9AE}" pid="4" name="ClassificationContentMarkingHeaderText">
    <vt:lpwstr>UNOFFICIAL</vt:lpwstr>
  </property>
  <property fmtid="{D5CDD505-2E9C-101B-9397-08002B2CF9AE}" pid="5" name="ClassificationContentMarkingFooterShapeIds">
    <vt:lpwstr>47fcf934,532385a6,645ff548</vt:lpwstr>
  </property>
  <property fmtid="{D5CDD505-2E9C-101B-9397-08002B2CF9AE}" pid="6" name="ClassificationContentMarkingFooterFontProps">
    <vt:lpwstr>#000000,10,Aptos</vt:lpwstr>
  </property>
  <property fmtid="{D5CDD505-2E9C-101B-9397-08002B2CF9AE}" pid="7" name="ClassificationContentMarkingFooterText">
    <vt:lpwstr>UNOFFICIAL</vt:lpwstr>
  </property>
  <property fmtid="{D5CDD505-2E9C-101B-9397-08002B2CF9AE}" pid="8" name="MSIP_Label_fba3502d-09f9-4350-b49d-9cee4033cd14_Enabled">
    <vt:lpwstr>true</vt:lpwstr>
  </property>
  <property fmtid="{D5CDD505-2E9C-101B-9397-08002B2CF9AE}" pid="9" name="MSIP_Label_fba3502d-09f9-4350-b49d-9cee4033cd14_SetDate">
    <vt:lpwstr>2026-07-14T01:21:14Z</vt:lpwstr>
  </property>
  <property fmtid="{D5CDD505-2E9C-101B-9397-08002B2CF9AE}" pid="10" name="MSIP_Label_fba3502d-09f9-4350-b49d-9cee4033cd14_Method">
    <vt:lpwstr>Privileged</vt:lpwstr>
  </property>
  <property fmtid="{D5CDD505-2E9C-101B-9397-08002B2CF9AE}" pid="11" name="MSIP_Label_fba3502d-09f9-4350-b49d-9cee4033cd14_Name">
    <vt:lpwstr>UNOFFICIAL</vt:lpwstr>
  </property>
  <property fmtid="{D5CDD505-2E9C-101B-9397-08002B2CF9AE}" pid="12" name="MSIP_Label_fba3502d-09f9-4350-b49d-9cee4033cd14_SiteId">
    <vt:lpwstr>402fca06-dc9c-412f-9bf9-1a335a4671f7</vt:lpwstr>
  </property>
  <property fmtid="{D5CDD505-2E9C-101B-9397-08002B2CF9AE}" pid="13" name="MSIP_Label_fba3502d-09f9-4350-b49d-9cee4033cd14_ActionId">
    <vt:lpwstr>bb7ced1b-72cc-41a3-a7d3-5e1855ec3575</vt:lpwstr>
  </property>
  <property fmtid="{D5CDD505-2E9C-101B-9397-08002B2CF9AE}" pid="14" name="MSIP_Label_fba3502d-09f9-4350-b49d-9cee4033cd14_ContentBits">
    <vt:lpwstr>3</vt:lpwstr>
  </property>
  <property fmtid="{D5CDD505-2E9C-101B-9397-08002B2CF9AE}" pid="15" name="MSIP_Label_fba3502d-09f9-4350-b49d-9cee4033cd14_Tag">
    <vt:lpwstr>10, 0, 1, 1</vt:lpwstr>
  </property>
</Properties>
</file>