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0F67" w14:textId="408EE236" w:rsidR="00C55C37" w:rsidRPr="00EB0DFD" w:rsidRDefault="00CA188A" w:rsidP="00EB0DFD">
      <w:pPr>
        <w:pStyle w:val="Heading1"/>
      </w:pPr>
      <w:r w:rsidRPr="00CA188A">
        <w:rPr>
          <w:lang w:val="en-US"/>
        </w:rPr>
        <w:t xml:space="preserve">Research Translation Case Study  </w:t>
      </w:r>
    </w:p>
    <w:p w14:paraId="1CA03553" w14:textId="44AD7408" w:rsidR="00422C75" w:rsidRDefault="00422C75" w:rsidP="00983181">
      <w:pPr>
        <w:pStyle w:val="Heading2noline"/>
        <w:rPr>
          <w:lang w:val="en-US"/>
        </w:rPr>
      </w:pPr>
      <w:r w:rsidRPr="00422C75">
        <w:rPr>
          <w:lang w:val="en-US"/>
        </w:rPr>
        <w:t>From research to routine care: The Omega</w:t>
      </w:r>
      <w:r w:rsidR="004F0FE2">
        <w:rPr>
          <w:lang w:val="en-US"/>
        </w:rPr>
        <w:t>-</w:t>
      </w:r>
      <w:r w:rsidRPr="00422C75">
        <w:rPr>
          <w:lang w:val="en-US"/>
        </w:rPr>
        <w:t>3 Test</w:t>
      </w:r>
      <w:r w:rsidR="009F059A">
        <w:rPr>
          <w:lang w:val="en-US"/>
        </w:rPr>
        <w:t>-</w:t>
      </w:r>
      <w:r w:rsidRPr="00422C75">
        <w:rPr>
          <w:lang w:val="en-US"/>
        </w:rPr>
        <w:t>and</w:t>
      </w:r>
      <w:r w:rsidR="009F059A">
        <w:rPr>
          <w:lang w:val="en-US"/>
        </w:rPr>
        <w:t>-</w:t>
      </w:r>
      <w:r w:rsidRPr="00422C75">
        <w:rPr>
          <w:lang w:val="en-US"/>
        </w:rPr>
        <w:t xml:space="preserve">Treat Program for </w:t>
      </w:r>
      <w:proofErr w:type="gramStart"/>
      <w:r w:rsidRPr="00422C75">
        <w:rPr>
          <w:lang w:val="en-US"/>
        </w:rPr>
        <w:t>preterm</w:t>
      </w:r>
      <w:proofErr w:type="gramEnd"/>
      <w:r w:rsidRPr="00422C75">
        <w:rPr>
          <w:lang w:val="en-US"/>
        </w:rPr>
        <w:t xml:space="preserve"> birth prevention </w:t>
      </w:r>
    </w:p>
    <w:p w14:paraId="564DC594" w14:textId="5B7E701F" w:rsidR="00B72B2F" w:rsidRPr="00371054" w:rsidRDefault="00AC1667" w:rsidP="00983181">
      <w:pPr>
        <w:pStyle w:val="Heading3"/>
        <w:rPr>
          <w:lang w:val="en-US"/>
        </w:rPr>
      </w:pPr>
      <w:r w:rsidRPr="00AC1667">
        <w:rPr>
          <w:lang w:val="en-US"/>
        </w:rPr>
        <w:t xml:space="preserve">Pathway: Public health and health-system level </w:t>
      </w:r>
      <w:r w:rsidR="00B72B2F">
        <w:rPr>
          <w:lang w:val="en-US"/>
        </w:rPr>
        <w:t>i</w:t>
      </w:r>
      <w:r w:rsidRPr="00AC1667">
        <w:rPr>
          <w:lang w:val="en-US"/>
        </w:rPr>
        <w:t>ntervention</w:t>
      </w:r>
    </w:p>
    <w:p w14:paraId="2124ECF9" w14:textId="4D237C14" w:rsidR="00CA188A" w:rsidRPr="00CA188A" w:rsidRDefault="00CA188A" w:rsidP="00D94D65">
      <w:pPr>
        <w:pStyle w:val="Heading4"/>
      </w:pPr>
      <w:r w:rsidRPr="00CA188A">
        <w:t>D</w:t>
      </w:r>
      <w:r w:rsidR="00D94D65">
        <w:t>iscovery</w:t>
      </w:r>
      <w:r w:rsidR="00B72B2F">
        <w:t xml:space="preserve"> </w:t>
      </w:r>
      <w:r w:rsidR="00350993">
        <w:t>and</w:t>
      </w:r>
      <w:r w:rsidR="00B72B2F">
        <w:t xml:space="preserve"> </w:t>
      </w:r>
      <w:r w:rsidR="00350993">
        <w:t>e</w:t>
      </w:r>
      <w:r w:rsidR="00B72B2F">
        <w:t>a</w:t>
      </w:r>
      <w:r w:rsidR="00126F21">
        <w:t>r</w:t>
      </w:r>
      <w:r w:rsidR="00B72B2F">
        <w:t xml:space="preserve">ly </w:t>
      </w:r>
      <w:r w:rsidR="002B49FD">
        <w:t>e</w:t>
      </w:r>
      <w:r w:rsidR="00422C75">
        <w:t>vidence</w:t>
      </w:r>
      <w:r w:rsidRPr="00CA188A">
        <w:t xml:space="preserve"> (</w:t>
      </w:r>
      <w:r w:rsidR="00422C75">
        <w:t>1986</w:t>
      </w:r>
      <w:r w:rsidR="00544D95">
        <w:t>–2018</w:t>
      </w:r>
      <w:r w:rsidRPr="00CA188A">
        <w:t>)</w:t>
      </w:r>
    </w:p>
    <w:p w14:paraId="790C6DA3" w14:textId="28F729ED" w:rsidR="00D50F4E" w:rsidRDefault="0042706D" w:rsidP="0098579B">
      <w:pPr>
        <w:rPr>
          <w:lang w:val="en-US"/>
        </w:rPr>
      </w:pPr>
      <w:r w:rsidRPr="0042706D">
        <w:rPr>
          <w:lang w:val="en-US"/>
        </w:rPr>
        <w:t>Comparisons between genetically similar populations showed longer gestations and higher birthweights in Faroese women than in mainland Danish women, attributed to higher marine omega</w:t>
      </w:r>
      <w:r w:rsidR="00394000">
        <w:rPr>
          <w:lang w:val="en-US"/>
        </w:rPr>
        <w:t>-</w:t>
      </w:r>
      <w:r w:rsidRPr="0042706D">
        <w:rPr>
          <w:lang w:val="en-US"/>
        </w:rPr>
        <w:t xml:space="preserve">3 intake (1986). Early small </w:t>
      </w:r>
      <w:r w:rsidR="00C545D5">
        <w:rPr>
          <w:lang w:val="en-US"/>
        </w:rPr>
        <w:t>randomized-controlled trials</w:t>
      </w:r>
      <w:r w:rsidR="00C545D5" w:rsidRPr="0042706D">
        <w:rPr>
          <w:lang w:val="en-US"/>
        </w:rPr>
        <w:t xml:space="preserve"> </w:t>
      </w:r>
      <w:r w:rsidRPr="0042706D">
        <w:rPr>
          <w:lang w:val="en-US"/>
        </w:rPr>
        <w:t>of omega</w:t>
      </w:r>
      <w:r w:rsidR="00902C87">
        <w:rPr>
          <w:lang w:val="en-US"/>
        </w:rPr>
        <w:t>-</w:t>
      </w:r>
      <w:r w:rsidRPr="0042706D">
        <w:rPr>
          <w:lang w:val="en-US"/>
        </w:rPr>
        <w:t>3 supplementation in women with high</w:t>
      </w:r>
      <w:r>
        <w:rPr>
          <w:lang w:val="en-US"/>
        </w:rPr>
        <w:t>-</w:t>
      </w:r>
      <w:r w:rsidRPr="0042706D">
        <w:rPr>
          <w:lang w:val="en-US"/>
        </w:rPr>
        <w:t xml:space="preserve">risk pregnancies were inconclusive. The Australian </w:t>
      </w:r>
      <w:proofErr w:type="spellStart"/>
      <w:r w:rsidRPr="0042706D">
        <w:rPr>
          <w:lang w:val="en-US"/>
        </w:rPr>
        <w:t>DOMInO</w:t>
      </w:r>
      <w:proofErr w:type="spellEnd"/>
      <w:r w:rsidRPr="0042706D">
        <w:rPr>
          <w:lang w:val="en-US"/>
        </w:rPr>
        <w:t xml:space="preserve"> trial</w:t>
      </w:r>
      <w:r w:rsidR="003B67BA">
        <w:rPr>
          <w:rStyle w:val="EndnoteReference"/>
          <w:lang w:val="en-US"/>
        </w:rPr>
        <w:endnoteReference w:id="1"/>
      </w:r>
      <w:r w:rsidRPr="0042706D">
        <w:rPr>
          <w:lang w:val="en-US"/>
        </w:rPr>
        <w:t xml:space="preserve"> and subsequent Cochrane review</w:t>
      </w:r>
      <w:r w:rsidR="00CE4E93">
        <w:rPr>
          <w:rStyle w:val="EndnoteReference"/>
          <w:lang w:val="en-US"/>
        </w:rPr>
        <w:endnoteReference w:id="2"/>
      </w:r>
      <w:r w:rsidRPr="0042706D">
        <w:rPr>
          <w:lang w:val="en-US"/>
        </w:rPr>
        <w:t xml:space="preserve"> led by Professor Maria Makrides resolved this, demonstrating that omega</w:t>
      </w:r>
      <w:r>
        <w:rPr>
          <w:lang w:val="en-US"/>
        </w:rPr>
        <w:t>-</w:t>
      </w:r>
      <w:r w:rsidRPr="0042706D">
        <w:rPr>
          <w:lang w:val="en-US"/>
        </w:rPr>
        <w:t>3 supplementation reduces preterm birth, with the greatest benefit for early preterm birth (&lt;34 weeks’ gestation) in women of unknown risk. In parallel, Professor Robert Gibson developed dried blood spot methods to measure omega</w:t>
      </w:r>
      <w:r w:rsidR="00394000">
        <w:rPr>
          <w:lang w:val="en-US"/>
        </w:rPr>
        <w:t>-</w:t>
      </w:r>
      <w:r w:rsidRPr="0042706D">
        <w:rPr>
          <w:lang w:val="en-US"/>
        </w:rPr>
        <w:t>3 status and enable easy population</w:t>
      </w:r>
      <w:r w:rsidR="00394000">
        <w:rPr>
          <w:lang w:val="en-US"/>
        </w:rPr>
        <w:t>-</w:t>
      </w:r>
      <w:r w:rsidRPr="0042706D">
        <w:rPr>
          <w:lang w:val="en-US"/>
        </w:rPr>
        <w:t>level testing</w:t>
      </w:r>
      <w:r w:rsidR="00D50F4E" w:rsidRPr="00D50F4E">
        <w:rPr>
          <w:lang w:val="en-US"/>
        </w:rPr>
        <w:t>.</w:t>
      </w:r>
    </w:p>
    <w:p w14:paraId="16FBB012" w14:textId="77777777" w:rsidR="006325A5" w:rsidRPr="00983181" w:rsidRDefault="006325A5" w:rsidP="00983181">
      <w:pPr>
        <w:pStyle w:val="Heading5"/>
        <w:rPr>
          <w:lang w:val="en-US"/>
        </w:rPr>
      </w:pPr>
      <w:r w:rsidRPr="00983181">
        <w:rPr>
          <w:lang w:val="en-US"/>
        </w:rPr>
        <w:t xml:space="preserve">Translation: </w:t>
      </w:r>
    </w:p>
    <w:p w14:paraId="0334ADC9" w14:textId="706E5806" w:rsidR="006325A5" w:rsidRPr="00FF3678" w:rsidRDefault="006D2820" w:rsidP="006325A5">
      <w:pPr>
        <w:pStyle w:val="ListParagraph"/>
        <w:numPr>
          <w:ilvl w:val="0"/>
          <w:numId w:val="32"/>
        </w:numPr>
        <w:rPr>
          <w:rStyle w:val="Heading6Char"/>
          <w:i w:val="0"/>
          <w:iCs w:val="0"/>
          <w:color w:val="000000" w:themeColor="text1"/>
        </w:rPr>
      </w:pPr>
      <w:r w:rsidRPr="00FF3678">
        <w:rPr>
          <w:rStyle w:val="Heading6Char"/>
          <w:i w:val="0"/>
          <w:iCs w:val="0"/>
          <w:color w:val="000000" w:themeColor="text1"/>
        </w:rPr>
        <w:t xml:space="preserve">1986 </w:t>
      </w:r>
      <w:r w:rsidR="00A44127">
        <w:rPr>
          <w:rStyle w:val="Heading6Char"/>
          <w:i w:val="0"/>
          <w:iCs w:val="0"/>
          <w:color w:val="000000" w:themeColor="text1"/>
        </w:rPr>
        <w:t>-</w:t>
      </w:r>
      <w:r w:rsidRPr="00FF3678">
        <w:rPr>
          <w:rStyle w:val="Heading6Char"/>
          <w:i w:val="0"/>
          <w:iCs w:val="0"/>
          <w:color w:val="000000" w:themeColor="text1"/>
        </w:rPr>
        <w:t xml:space="preserve"> Hypothesis developed</w:t>
      </w:r>
      <w:r w:rsidR="00FF3678" w:rsidRPr="00FF3678">
        <w:rPr>
          <w:rStyle w:val="Heading6Char"/>
          <w:i w:val="0"/>
          <w:iCs w:val="0"/>
          <w:color w:val="000000" w:themeColor="text1"/>
        </w:rPr>
        <w:t>.</w:t>
      </w:r>
    </w:p>
    <w:p w14:paraId="1A0E791A" w14:textId="63BF1498" w:rsidR="006D2820" w:rsidRPr="00FF3678" w:rsidRDefault="006D2820" w:rsidP="006325A5">
      <w:pPr>
        <w:pStyle w:val="ListParagraph"/>
        <w:numPr>
          <w:ilvl w:val="0"/>
          <w:numId w:val="32"/>
        </w:numPr>
        <w:rPr>
          <w:rStyle w:val="Heading6Char"/>
          <w:i w:val="0"/>
          <w:iCs w:val="0"/>
          <w:color w:val="000000" w:themeColor="text1"/>
        </w:rPr>
      </w:pPr>
      <w:r w:rsidRPr="00FF3678">
        <w:rPr>
          <w:rStyle w:val="Heading6Char"/>
          <w:i w:val="0"/>
          <w:iCs w:val="0"/>
          <w:color w:val="000000" w:themeColor="text1"/>
        </w:rPr>
        <w:t xml:space="preserve">2006–2018 </w:t>
      </w:r>
      <w:r w:rsidR="00A44127">
        <w:rPr>
          <w:rStyle w:val="Heading6Char"/>
          <w:i w:val="0"/>
          <w:iCs w:val="0"/>
          <w:color w:val="000000" w:themeColor="text1"/>
        </w:rPr>
        <w:t>-</w:t>
      </w:r>
      <w:r w:rsidRPr="00FF3678">
        <w:rPr>
          <w:rStyle w:val="Heading6Char"/>
          <w:i w:val="0"/>
          <w:iCs w:val="0"/>
          <w:color w:val="000000" w:themeColor="text1"/>
        </w:rPr>
        <w:t xml:space="preserve"> Inter</w:t>
      </w:r>
      <w:r w:rsidR="00F948C0" w:rsidRPr="00FF3678">
        <w:rPr>
          <w:rStyle w:val="Heading6Char"/>
          <w:i w:val="0"/>
          <w:iCs w:val="0"/>
          <w:color w:val="000000" w:themeColor="text1"/>
        </w:rPr>
        <w:t>vention evidence synthesised</w:t>
      </w:r>
      <w:r w:rsidR="00FF3678" w:rsidRPr="00FF3678">
        <w:rPr>
          <w:rStyle w:val="Heading6Char"/>
          <w:i w:val="0"/>
          <w:iCs w:val="0"/>
          <w:color w:val="000000" w:themeColor="text1"/>
        </w:rPr>
        <w:t>.</w:t>
      </w:r>
    </w:p>
    <w:p w14:paraId="765399C9" w14:textId="53BFE157" w:rsidR="0098579B" w:rsidRPr="00983181" w:rsidRDefault="00CA188A" w:rsidP="00983181">
      <w:pPr>
        <w:pStyle w:val="Heading5"/>
      </w:pPr>
      <w:r w:rsidRPr="00983181">
        <w:t xml:space="preserve">Stakeholders: </w:t>
      </w:r>
    </w:p>
    <w:p w14:paraId="458E1F6B" w14:textId="25E43161" w:rsidR="00CA188A" w:rsidRPr="00CA188A" w:rsidRDefault="009417F8" w:rsidP="009417F8">
      <w:r w:rsidRPr="009417F8">
        <w:t xml:space="preserve">Clinician-researchers; Funder; </w:t>
      </w:r>
      <w:r w:rsidR="002B49FD">
        <w:t>Research organisation; Tertiary institute</w:t>
      </w:r>
      <w:r w:rsidR="00840458">
        <w:t>;</w:t>
      </w:r>
      <w:r w:rsidRPr="009417F8">
        <w:t xml:space="preserve"> Health service</w:t>
      </w:r>
      <w:r w:rsidR="00840458">
        <w:t>;</w:t>
      </w:r>
      <w:r w:rsidRPr="009417F8">
        <w:t xml:space="preserve"> Consumers and community</w:t>
      </w:r>
      <w:r>
        <w:t>.</w:t>
      </w:r>
    </w:p>
    <w:p w14:paraId="78582362" w14:textId="77777777" w:rsidR="00CA188A" w:rsidRPr="00983181" w:rsidRDefault="00CA188A" w:rsidP="00983181">
      <w:pPr>
        <w:pStyle w:val="Heading5"/>
      </w:pPr>
      <w:r w:rsidRPr="00983181">
        <w:t xml:space="preserve">Stages: </w:t>
      </w:r>
    </w:p>
    <w:p w14:paraId="253CE19D" w14:textId="511CBAFC" w:rsidR="00B501C0" w:rsidRPr="00B501C0" w:rsidRDefault="00B501C0" w:rsidP="00B501C0">
      <w:pPr>
        <w:pStyle w:val="ListParagraph"/>
        <w:numPr>
          <w:ilvl w:val="0"/>
          <w:numId w:val="27"/>
        </w:numPr>
      </w:pPr>
      <w:r w:rsidRPr="00B501C0">
        <w:t>Hypothesis generated from population observations</w:t>
      </w:r>
      <w:r w:rsidR="00F82777">
        <w:t>.</w:t>
      </w:r>
      <w:r w:rsidRPr="00B501C0">
        <w:t xml:space="preserve"> </w:t>
      </w:r>
    </w:p>
    <w:p w14:paraId="45114F15" w14:textId="08602430" w:rsidR="00125E54" w:rsidRPr="00125E54" w:rsidRDefault="00125E54" w:rsidP="00125E54">
      <w:pPr>
        <w:pStyle w:val="ListParagraph"/>
        <w:numPr>
          <w:ilvl w:val="0"/>
          <w:numId w:val="27"/>
        </w:numPr>
      </w:pPr>
      <w:r w:rsidRPr="00125E54">
        <w:t>Evidence synthesised to evaluate intervention efficacy</w:t>
      </w:r>
      <w:r w:rsidR="00F82777">
        <w:t>.</w:t>
      </w:r>
    </w:p>
    <w:p w14:paraId="07B3263E" w14:textId="6B58F82A" w:rsidR="00F82777" w:rsidRPr="00F82777" w:rsidRDefault="00F82777" w:rsidP="00F82777">
      <w:pPr>
        <w:pStyle w:val="ListParagraph"/>
        <w:numPr>
          <w:ilvl w:val="0"/>
          <w:numId w:val="27"/>
        </w:numPr>
      </w:pPr>
      <w:r w:rsidRPr="00F82777">
        <w:t>Testing approach developed for population-scale use</w:t>
      </w:r>
      <w:r>
        <w:t>.</w:t>
      </w:r>
    </w:p>
    <w:p w14:paraId="3114E44A" w14:textId="77777777" w:rsidR="008A1F7F" w:rsidRPr="00F82777" w:rsidRDefault="008A1F7F" w:rsidP="00F82777">
      <w:pPr>
        <w:ind w:left="284" w:hanging="284"/>
        <w:rPr>
          <w:b/>
        </w:rPr>
      </w:pPr>
    </w:p>
    <w:p w14:paraId="64FBEE48" w14:textId="4BB44849" w:rsidR="008A1F7F" w:rsidRDefault="00B63153" w:rsidP="00EC0A0E">
      <w:pPr>
        <w:rPr>
          <w:rFonts w:ascii="Gotham Medium" w:eastAsiaTheme="majorEastAsia" w:hAnsi="Gotham Medium" w:cstheme="majorBidi"/>
          <w:color w:val="09002E" w:themeColor="text2"/>
          <w:sz w:val="24"/>
          <w:szCs w:val="24"/>
          <w:lang w:val="en-US"/>
        </w:rPr>
      </w:pPr>
      <w:r>
        <w:rPr>
          <w:rFonts w:ascii="Gotham Medium" w:eastAsiaTheme="majorEastAsia" w:hAnsi="Gotham Medium" w:cstheme="majorBidi"/>
          <w:color w:val="09002E" w:themeColor="text2"/>
          <w:sz w:val="24"/>
          <w:szCs w:val="24"/>
          <w:lang w:val="en-US"/>
        </w:rPr>
        <w:t>Evidence, targeting and policy development</w:t>
      </w:r>
      <w:r w:rsidR="008A1F7F" w:rsidRPr="008A1F7F">
        <w:rPr>
          <w:rFonts w:ascii="Gotham Medium" w:eastAsiaTheme="majorEastAsia" w:hAnsi="Gotham Medium" w:cstheme="majorBidi"/>
          <w:color w:val="09002E" w:themeColor="text2"/>
          <w:sz w:val="24"/>
          <w:szCs w:val="24"/>
          <w:lang w:val="en-US"/>
        </w:rPr>
        <w:t xml:space="preserve"> (201</w:t>
      </w:r>
      <w:r>
        <w:rPr>
          <w:rFonts w:ascii="Gotham Medium" w:eastAsiaTheme="majorEastAsia" w:hAnsi="Gotham Medium" w:cstheme="majorBidi"/>
          <w:color w:val="09002E" w:themeColor="text2"/>
          <w:sz w:val="24"/>
          <w:szCs w:val="24"/>
          <w:lang w:val="en-US"/>
        </w:rPr>
        <w:t>8</w:t>
      </w:r>
      <w:r w:rsidR="00384E90">
        <w:rPr>
          <w:rFonts w:ascii="Gotham Medium" w:eastAsiaTheme="majorEastAsia" w:hAnsi="Gotham Medium" w:cstheme="majorBidi"/>
          <w:color w:val="09002E" w:themeColor="text2"/>
          <w:sz w:val="24"/>
          <w:szCs w:val="24"/>
          <w:lang w:val="en-US"/>
        </w:rPr>
        <w:t>–</w:t>
      </w:r>
      <w:r w:rsidR="008A1F7F" w:rsidRPr="008A1F7F">
        <w:rPr>
          <w:rFonts w:ascii="Gotham Medium" w:eastAsiaTheme="majorEastAsia" w:hAnsi="Gotham Medium" w:cstheme="majorBidi"/>
          <w:color w:val="09002E" w:themeColor="text2"/>
          <w:sz w:val="24"/>
          <w:szCs w:val="24"/>
          <w:lang w:val="en-US"/>
        </w:rPr>
        <w:t>20</w:t>
      </w:r>
      <w:r>
        <w:rPr>
          <w:rFonts w:ascii="Gotham Medium" w:eastAsiaTheme="majorEastAsia" w:hAnsi="Gotham Medium" w:cstheme="majorBidi"/>
          <w:color w:val="09002E" w:themeColor="text2"/>
          <w:sz w:val="24"/>
          <w:szCs w:val="24"/>
          <w:lang w:val="en-US"/>
        </w:rPr>
        <w:t>20</w:t>
      </w:r>
      <w:r w:rsidR="008A1F7F" w:rsidRPr="008A1F7F">
        <w:rPr>
          <w:rFonts w:ascii="Gotham Medium" w:eastAsiaTheme="majorEastAsia" w:hAnsi="Gotham Medium" w:cstheme="majorBidi"/>
          <w:color w:val="09002E" w:themeColor="text2"/>
          <w:sz w:val="24"/>
          <w:szCs w:val="24"/>
          <w:lang w:val="en-US"/>
        </w:rPr>
        <w:t>)</w:t>
      </w:r>
    </w:p>
    <w:p w14:paraId="2A2C4D8A" w14:textId="51EDE5A4" w:rsidR="00051B13" w:rsidRPr="001A5F9A" w:rsidRDefault="001A5F9A" w:rsidP="00931F5C">
      <w:r w:rsidRPr="001A5F9A">
        <w:t>Building on this evidence, Professor Makrides led the largest trial of omega</w:t>
      </w:r>
      <w:r w:rsidRPr="001A5F9A">
        <w:noBreakHyphen/>
        <w:t>3 supplementation in pregnancy, designed to test whether universal supplementation was effective at population scale.</w:t>
      </w:r>
      <w:r w:rsidR="00366B28">
        <w:rPr>
          <w:rStyle w:val="EndnoteReference"/>
        </w:rPr>
        <w:endnoteReference w:id="3"/>
      </w:r>
      <w:r w:rsidRPr="001A5F9A">
        <w:t xml:space="preserve"> It showed that benefit depended on a woman's omega</w:t>
      </w:r>
      <w:r w:rsidRPr="001A5F9A">
        <w:noBreakHyphen/>
        <w:t>3 status early in pregnancy: those with low status were at increased risk for early preterm birth and omega-3 supplementation substantially reduced this risk, while those with sufficient levels were already at low risk and no benefit was gained.</w:t>
      </w:r>
      <w:r w:rsidR="00286E4D">
        <w:rPr>
          <w:rStyle w:val="EndnoteReference"/>
        </w:rPr>
        <w:endnoteReference w:id="4"/>
      </w:r>
      <w:r w:rsidRPr="001A5F9A">
        <w:t xml:space="preserve"> This established omega</w:t>
      </w:r>
      <w:r w:rsidRPr="001A5F9A">
        <w:noBreakHyphen/>
        <w:t>3 status as a clinically meaningful biomarker and shifted the approach from universal supplementation to targeted prevention.  Targeted supplementation was adopted in the NHMRC Pregnancy Care Guideline as the first such international recommendation and subsequently included in other international guidelines.</w:t>
      </w:r>
    </w:p>
    <w:p w14:paraId="2928A652" w14:textId="44ADA30B" w:rsidR="005E705E" w:rsidRPr="00983181" w:rsidRDefault="006325A5" w:rsidP="00983181">
      <w:pPr>
        <w:pStyle w:val="Heading5"/>
        <w:rPr>
          <w:lang w:val="en-US"/>
        </w:rPr>
      </w:pPr>
      <w:r w:rsidRPr="00983181">
        <w:rPr>
          <w:lang w:val="en-US"/>
        </w:rPr>
        <w:lastRenderedPageBreak/>
        <w:t>T</w:t>
      </w:r>
      <w:r w:rsidR="006A7C5A" w:rsidRPr="00983181">
        <w:rPr>
          <w:lang w:val="en-US"/>
        </w:rPr>
        <w:t>ranslation</w:t>
      </w:r>
      <w:r w:rsidR="00677E7A" w:rsidRPr="00983181">
        <w:rPr>
          <w:lang w:val="en-US"/>
        </w:rPr>
        <w:t xml:space="preserve">: </w:t>
      </w:r>
    </w:p>
    <w:p w14:paraId="677BD3F3" w14:textId="63E6E86B" w:rsidR="006A7C5A" w:rsidRPr="00456247" w:rsidRDefault="00895A66" w:rsidP="00897D53">
      <w:pPr>
        <w:pStyle w:val="ListParagraph"/>
        <w:numPr>
          <w:ilvl w:val="0"/>
          <w:numId w:val="28"/>
        </w:numPr>
        <w:rPr>
          <w:rStyle w:val="Heading6Char"/>
          <w:i w:val="0"/>
          <w:iCs w:val="0"/>
          <w:color w:val="000000" w:themeColor="text1"/>
          <w:lang w:val="en-US"/>
        </w:rPr>
      </w:pPr>
      <w:r w:rsidRPr="00456247">
        <w:rPr>
          <w:rStyle w:val="Heading6Char"/>
          <w:i w:val="0"/>
          <w:iCs w:val="0"/>
          <w:color w:val="000000" w:themeColor="text1"/>
          <w:lang w:val="en-US"/>
        </w:rPr>
        <w:t>201</w:t>
      </w:r>
      <w:r w:rsidR="00A72781">
        <w:rPr>
          <w:rStyle w:val="Heading6Char"/>
          <w:i w:val="0"/>
          <w:iCs w:val="0"/>
          <w:color w:val="000000" w:themeColor="text1"/>
          <w:lang w:val="en-US"/>
        </w:rPr>
        <w:t>8</w:t>
      </w:r>
      <w:r w:rsidRPr="00456247">
        <w:rPr>
          <w:rStyle w:val="Heading6Char"/>
          <w:i w:val="0"/>
          <w:iCs w:val="0"/>
          <w:color w:val="000000" w:themeColor="text1"/>
          <w:lang w:val="en-US"/>
        </w:rPr>
        <w:t xml:space="preserve"> - </w:t>
      </w:r>
      <w:r w:rsidR="00450FBF" w:rsidRPr="00450FBF">
        <w:rPr>
          <w:rStyle w:val="Heading6Char"/>
          <w:i w:val="0"/>
          <w:iCs w:val="0"/>
          <w:color w:val="000000" w:themeColor="text1"/>
          <w:lang w:val="en-US"/>
        </w:rPr>
        <w:t>Scalable blood testing developed</w:t>
      </w:r>
      <w:r w:rsidR="00FF3678">
        <w:rPr>
          <w:rStyle w:val="Heading6Char"/>
          <w:i w:val="0"/>
          <w:iCs w:val="0"/>
          <w:color w:val="000000" w:themeColor="text1"/>
          <w:lang w:val="en-US"/>
        </w:rPr>
        <w:t>.</w:t>
      </w:r>
    </w:p>
    <w:p w14:paraId="64594FD0" w14:textId="23FAB462" w:rsidR="00897D53" w:rsidRPr="00456247" w:rsidRDefault="00897D53" w:rsidP="00897D53">
      <w:pPr>
        <w:pStyle w:val="ListParagraph"/>
        <w:numPr>
          <w:ilvl w:val="0"/>
          <w:numId w:val="28"/>
        </w:numPr>
        <w:rPr>
          <w:rStyle w:val="Heading6Char"/>
          <w:i w:val="0"/>
          <w:iCs w:val="0"/>
          <w:color w:val="000000" w:themeColor="text1"/>
          <w:lang w:val="en-US"/>
        </w:rPr>
      </w:pPr>
      <w:r w:rsidRPr="00456247">
        <w:rPr>
          <w:rStyle w:val="Heading6Char"/>
          <w:i w:val="0"/>
          <w:iCs w:val="0"/>
          <w:color w:val="000000" w:themeColor="text1"/>
          <w:lang w:val="en-US"/>
        </w:rPr>
        <w:t>201</w:t>
      </w:r>
      <w:r w:rsidR="00450FBF">
        <w:rPr>
          <w:rStyle w:val="Heading6Char"/>
          <w:i w:val="0"/>
          <w:iCs w:val="0"/>
          <w:color w:val="000000" w:themeColor="text1"/>
          <w:lang w:val="en-US"/>
        </w:rPr>
        <w:t>8–2020</w:t>
      </w:r>
      <w:r w:rsidRPr="00456247">
        <w:rPr>
          <w:rStyle w:val="Heading6Char"/>
          <w:i w:val="0"/>
          <w:iCs w:val="0"/>
          <w:color w:val="000000" w:themeColor="text1"/>
          <w:lang w:val="en-US"/>
        </w:rPr>
        <w:t xml:space="preserve"> - </w:t>
      </w:r>
      <w:r w:rsidR="00AA7573" w:rsidRPr="00AA7573">
        <w:rPr>
          <w:rStyle w:val="Heading6Char"/>
          <w:i w:val="0"/>
          <w:iCs w:val="0"/>
          <w:color w:val="000000" w:themeColor="text1"/>
          <w:lang w:val="en-US"/>
        </w:rPr>
        <w:t>Clinical effectiveness demonstrated</w:t>
      </w:r>
      <w:r w:rsidR="00FF3678">
        <w:rPr>
          <w:rStyle w:val="Heading6Char"/>
          <w:i w:val="0"/>
          <w:iCs w:val="0"/>
          <w:color w:val="000000" w:themeColor="text1"/>
          <w:lang w:val="en-US"/>
        </w:rPr>
        <w:t>.</w:t>
      </w:r>
    </w:p>
    <w:p w14:paraId="0E963905" w14:textId="2FD526B3" w:rsidR="00FD77A8" w:rsidRPr="00456247" w:rsidRDefault="00FD77A8" w:rsidP="00897D53">
      <w:pPr>
        <w:pStyle w:val="ListParagraph"/>
        <w:numPr>
          <w:ilvl w:val="0"/>
          <w:numId w:val="28"/>
        </w:numPr>
        <w:rPr>
          <w:rStyle w:val="Heading6Char"/>
          <w:i w:val="0"/>
          <w:iCs w:val="0"/>
          <w:color w:val="000000" w:themeColor="text1"/>
          <w:lang w:val="en-US"/>
        </w:rPr>
      </w:pPr>
      <w:r w:rsidRPr="00456247">
        <w:rPr>
          <w:rStyle w:val="Heading6Char"/>
          <w:i w:val="0"/>
          <w:iCs w:val="0"/>
          <w:color w:val="000000" w:themeColor="text1"/>
          <w:lang w:val="en-US"/>
        </w:rPr>
        <w:t>20</w:t>
      </w:r>
      <w:r w:rsidR="00AA7573">
        <w:rPr>
          <w:rStyle w:val="Heading6Char"/>
          <w:i w:val="0"/>
          <w:iCs w:val="0"/>
          <w:color w:val="000000" w:themeColor="text1"/>
          <w:lang w:val="en-US"/>
        </w:rPr>
        <w:t>20</w:t>
      </w:r>
      <w:r w:rsidRPr="00456247">
        <w:rPr>
          <w:rStyle w:val="Heading6Char"/>
          <w:i w:val="0"/>
          <w:iCs w:val="0"/>
          <w:color w:val="000000" w:themeColor="text1"/>
          <w:lang w:val="en-US"/>
        </w:rPr>
        <w:t xml:space="preserve"> </w:t>
      </w:r>
      <w:r w:rsidR="00D31E93">
        <w:rPr>
          <w:rStyle w:val="Heading6Char"/>
          <w:i w:val="0"/>
          <w:iCs w:val="0"/>
          <w:color w:val="000000" w:themeColor="text1"/>
          <w:lang w:val="en-US"/>
        </w:rPr>
        <w:t>-</w:t>
      </w:r>
      <w:r w:rsidRPr="00456247">
        <w:rPr>
          <w:rStyle w:val="Heading6Char"/>
          <w:i w:val="0"/>
          <w:iCs w:val="0"/>
          <w:color w:val="000000" w:themeColor="text1"/>
          <w:lang w:val="en-US"/>
        </w:rPr>
        <w:t xml:space="preserve"> </w:t>
      </w:r>
      <w:r w:rsidR="00FF3678" w:rsidRPr="00FF3678">
        <w:rPr>
          <w:rStyle w:val="Heading6Char"/>
          <w:i w:val="0"/>
          <w:iCs w:val="0"/>
          <w:color w:val="000000" w:themeColor="text1"/>
          <w:lang w:val="en-US"/>
        </w:rPr>
        <w:t>Evidence integrated into guidelines</w:t>
      </w:r>
      <w:r w:rsidR="00456247">
        <w:rPr>
          <w:rStyle w:val="Heading6Char"/>
          <w:i w:val="0"/>
          <w:iCs w:val="0"/>
          <w:color w:val="000000" w:themeColor="text1"/>
          <w:lang w:val="en-US"/>
        </w:rPr>
        <w:t>.</w:t>
      </w:r>
    </w:p>
    <w:p w14:paraId="112203AA" w14:textId="77777777" w:rsidR="00931F5C" w:rsidRPr="00983181" w:rsidRDefault="00CA188A" w:rsidP="00983181">
      <w:pPr>
        <w:pStyle w:val="Heading5"/>
        <w:rPr>
          <w:lang w:val="en-US"/>
        </w:rPr>
      </w:pPr>
      <w:r w:rsidRPr="00983181">
        <w:rPr>
          <w:lang w:val="en-US"/>
        </w:rPr>
        <w:t>Stakeholders:</w:t>
      </w:r>
      <w:r w:rsidR="006822D3" w:rsidRPr="00983181">
        <w:rPr>
          <w:lang w:val="en-US"/>
        </w:rPr>
        <w:t xml:space="preserve"> </w:t>
      </w:r>
    </w:p>
    <w:p w14:paraId="1946BC9A" w14:textId="4A9338FE" w:rsidR="00CA188A" w:rsidRPr="00CA188A" w:rsidRDefault="006822D3" w:rsidP="00A84786">
      <w:r w:rsidRPr="006822D3">
        <w:t>Clinician-researchers; Funders; Policymakers</w:t>
      </w:r>
      <w:r w:rsidR="00A242DC">
        <w:t>;</w:t>
      </w:r>
      <w:r w:rsidRPr="006822D3">
        <w:t xml:space="preserve"> </w:t>
      </w:r>
      <w:r w:rsidR="002C4663">
        <w:t>Research Organisation</w:t>
      </w:r>
      <w:r w:rsidR="00A242DC">
        <w:t>;</w:t>
      </w:r>
      <w:r w:rsidR="002C4663">
        <w:t xml:space="preserve"> Tertiary institute</w:t>
      </w:r>
      <w:r w:rsidR="00A242DC">
        <w:t>;</w:t>
      </w:r>
      <w:r w:rsidR="002C4663">
        <w:t xml:space="preserve"> </w:t>
      </w:r>
      <w:r w:rsidRPr="006822D3">
        <w:t>Health service</w:t>
      </w:r>
      <w:r w:rsidR="00A242DC">
        <w:t>;</w:t>
      </w:r>
      <w:r w:rsidRPr="006822D3">
        <w:t xml:space="preserve"> Consumers and community</w:t>
      </w:r>
      <w:r w:rsidR="00A242DC">
        <w:t>.</w:t>
      </w:r>
    </w:p>
    <w:p w14:paraId="49BE2999" w14:textId="77777777" w:rsidR="00CA188A" w:rsidRPr="00983181" w:rsidRDefault="00CA188A" w:rsidP="00983181">
      <w:pPr>
        <w:pStyle w:val="Heading5"/>
      </w:pPr>
      <w:r w:rsidRPr="00983181">
        <w:t>Stages:</w:t>
      </w:r>
    </w:p>
    <w:p w14:paraId="4556F294" w14:textId="21D6322F" w:rsidR="00825811" w:rsidRPr="00E35680" w:rsidRDefault="00E35680" w:rsidP="00E35680">
      <w:pPr>
        <w:pStyle w:val="ListParagraph"/>
        <w:numPr>
          <w:ilvl w:val="0"/>
          <w:numId w:val="27"/>
        </w:numPr>
        <w:rPr>
          <w:lang w:val="en-US"/>
        </w:rPr>
      </w:pPr>
      <w:r w:rsidRPr="00E35680">
        <w:rPr>
          <w:lang w:val="en-US"/>
        </w:rPr>
        <w:t>Clinical effectiveness and variation in response evaluated through trials and evidence synthesis</w:t>
      </w:r>
      <w:r w:rsidR="00BC5F85" w:rsidRPr="00E35680">
        <w:rPr>
          <w:lang w:val="en-US"/>
        </w:rPr>
        <w:t>.</w:t>
      </w:r>
    </w:p>
    <w:p w14:paraId="29B0E5E2" w14:textId="5AB22360" w:rsidR="00825811" w:rsidRPr="0035699C" w:rsidRDefault="0035699C" w:rsidP="0035699C">
      <w:pPr>
        <w:pStyle w:val="ListParagraph"/>
        <w:numPr>
          <w:ilvl w:val="0"/>
          <w:numId w:val="27"/>
        </w:numPr>
        <w:rPr>
          <w:lang w:val="en-US"/>
        </w:rPr>
      </w:pPr>
      <w:r w:rsidRPr="0035699C">
        <w:rPr>
          <w:lang w:val="en-US"/>
        </w:rPr>
        <w:t xml:space="preserve">Target population </w:t>
      </w:r>
      <w:proofErr w:type="gramStart"/>
      <w:r w:rsidRPr="0035699C">
        <w:rPr>
          <w:lang w:val="en-US"/>
        </w:rPr>
        <w:t>defined</w:t>
      </w:r>
      <w:proofErr w:type="gramEnd"/>
      <w:r w:rsidRPr="0035699C">
        <w:rPr>
          <w:lang w:val="en-US"/>
        </w:rPr>
        <w:t xml:space="preserve"> to guide intervention and policy</w:t>
      </w:r>
      <w:r w:rsidR="00825811" w:rsidRPr="0035699C">
        <w:rPr>
          <w:lang w:val="en-US"/>
        </w:rPr>
        <w:t>.</w:t>
      </w:r>
    </w:p>
    <w:p w14:paraId="3BCBA318" w14:textId="07CA44FD" w:rsidR="00CA188A" w:rsidRPr="00CA188A" w:rsidRDefault="00A40BD3" w:rsidP="00894D2B">
      <w:pPr>
        <w:pStyle w:val="Heading4"/>
      </w:pPr>
      <w:r>
        <w:t>Program developmen</w:t>
      </w:r>
      <w:r w:rsidR="00350993">
        <w:t>t and implementation</w:t>
      </w:r>
      <w:r w:rsidR="00CA188A" w:rsidRPr="00CA188A">
        <w:t xml:space="preserve"> (</w:t>
      </w:r>
      <w:r w:rsidR="009A694A">
        <w:t>20</w:t>
      </w:r>
      <w:r w:rsidR="00350993">
        <w:t>21</w:t>
      </w:r>
      <w:r w:rsidR="00384E90">
        <w:t>–</w:t>
      </w:r>
      <w:r w:rsidR="00CA188A" w:rsidRPr="00CA188A">
        <w:t>20</w:t>
      </w:r>
      <w:r w:rsidR="009A694A">
        <w:t>2</w:t>
      </w:r>
      <w:r w:rsidR="00350993">
        <w:t>5</w:t>
      </w:r>
      <w:r w:rsidR="00CA188A" w:rsidRPr="00CA188A">
        <w:t>)</w:t>
      </w:r>
    </w:p>
    <w:p w14:paraId="578D7A6F" w14:textId="6517799A" w:rsidR="000A7809" w:rsidRDefault="00F1222C" w:rsidP="00231EDB">
      <w:pPr>
        <w:rPr>
          <w:lang w:val="en-US"/>
        </w:rPr>
      </w:pPr>
      <w:r w:rsidRPr="00F1222C">
        <w:t>Translating this evidence into routine care required a workflow-aligned delivery model and formal cross-system partnerships. The Omega</w:t>
      </w:r>
      <w:r w:rsidRPr="00F1222C">
        <w:noBreakHyphen/>
        <w:t>3</w:t>
      </w:r>
      <w:r w:rsidR="00DE72C5">
        <w:t xml:space="preserve"> </w:t>
      </w:r>
      <w:r w:rsidRPr="00F1222C">
        <w:t>Test</w:t>
      </w:r>
      <w:r w:rsidRPr="00F1222C">
        <w:noBreakHyphen/>
        <w:t>and</w:t>
      </w:r>
      <w:r w:rsidRPr="00F1222C">
        <w:noBreakHyphen/>
        <w:t>Treat Program was co</w:t>
      </w:r>
      <w:r w:rsidRPr="00F1222C">
        <w:noBreakHyphen/>
        <w:t xml:space="preserve">designed with clinicians, consumers and pathology providers to identify and treat women most likely to benefit. A Memorandum of Understanding with SA Pathology committed to ongoing service delivery pending successful implementation. The laboratory test was adapted and validated to integrate with existing antenatal screening workflows. Partnership with </w:t>
      </w:r>
      <w:proofErr w:type="spellStart"/>
      <w:r w:rsidRPr="00F1222C">
        <w:t>GPEx</w:t>
      </w:r>
      <w:proofErr w:type="spellEnd"/>
      <w:r w:rsidRPr="00F1222C">
        <w:t xml:space="preserve"> supported training of frontline providers of antenatal care in SA. </w:t>
      </w:r>
      <w:r w:rsidR="001B42D0">
        <w:t>An</w:t>
      </w:r>
      <w:r w:rsidR="00B33EC3">
        <w:t xml:space="preserve"> equity focus was embedded</w:t>
      </w:r>
      <w:r w:rsidR="007327C7">
        <w:t xml:space="preserve"> throughout implementation</w:t>
      </w:r>
      <w:r w:rsidR="00750DB7">
        <w:t>, including targeted supplement</w:t>
      </w:r>
      <w:r w:rsidR="00313D03">
        <w:t xml:space="preserve"> provision for women with low omega-3 status in areas of disadvantage and delivery through Aboriginal Health Servi</w:t>
      </w:r>
      <w:r w:rsidR="00751821">
        <w:t>ces</w:t>
      </w:r>
      <w:r w:rsidRPr="00F1222C">
        <w:t>. Implementation and evaluation, led by Dr Karen Best, demonstrated the program could be reliably delivered at scale, with demonstrated feasibility, fidelity and uptake</w:t>
      </w:r>
      <w:r w:rsidR="000A7809" w:rsidRPr="000A7809">
        <w:rPr>
          <w:lang w:val="en-US"/>
        </w:rPr>
        <w:t>.</w:t>
      </w:r>
      <w:r w:rsidR="00911B1C">
        <w:rPr>
          <w:rStyle w:val="EndnoteReference"/>
          <w:lang w:val="en-US"/>
        </w:rPr>
        <w:endnoteReference w:id="5"/>
      </w:r>
    </w:p>
    <w:p w14:paraId="1D115D1E" w14:textId="33E99DD7" w:rsidR="00FD77A8" w:rsidRPr="00983181" w:rsidRDefault="0097520C" w:rsidP="00983181">
      <w:pPr>
        <w:pStyle w:val="Heading5"/>
        <w:rPr>
          <w:lang w:val="en-US"/>
        </w:rPr>
      </w:pPr>
      <w:r w:rsidRPr="00983181">
        <w:rPr>
          <w:lang w:val="en-US"/>
        </w:rPr>
        <w:t>T</w:t>
      </w:r>
      <w:r w:rsidR="00FD77A8" w:rsidRPr="00983181">
        <w:rPr>
          <w:lang w:val="en-US"/>
        </w:rPr>
        <w:t xml:space="preserve">ranslation: </w:t>
      </w:r>
    </w:p>
    <w:p w14:paraId="36B45DC4" w14:textId="7AB8D51A" w:rsidR="0097520C" w:rsidRPr="0097520C" w:rsidRDefault="0097520C" w:rsidP="0097520C">
      <w:pPr>
        <w:pStyle w:val="ListParagraph"/>
        <w:numPr>
          <w:ilvl w:val="0"/>
          <w:numId w:val="33"/>
        </w:numPr>
        <w:rPr>
          <w:rFonts w:eastAsiaTheme="majorEastAsia" w:cstheme="majorBidi"/>
          <w:szCs w:val="20"/>
        </w:rPr>
      </w:pPr>
      <w:r w:rsidRPr="0097520C">
        <w:rPr>
          <w:rFonts w:eastAsiaTheme="majorEastAsia" w:cstheme="majorBidi"/>
          <w:szCs w:val="20"/>
        </w:rPr>
        <w:t>2021 - Implementation program established</w:t>
      </w:r>
      <w:r>
        <w:rPr>
          <w:rFonts w:eastAsiaTheme="majorEastAsia" w:cstheme="majorBidi"/>
          <w:szCs w:val="20"/>
        </w:rPr>
        <w:t>.</w:t>
      </w:r>
      <w:r w:rsidRPr="0097520C">
        <w:rPr>
          <w:rFonts w:eastAsiaTheme="majorEastAsia" w:cstheme="majorBidi"/>
          <w:szCs w:val="20"/>
        </w:rPr>
        <w:t xml:space="preserve"> </w:t>
      </w:r>
    </w:p>
    <w:p w14:paraId="407DFB99" w14:textId="1FD431E5" w:rsidR="0097520C" w:rsidRPr="0097520C" w:rsidRDefault="0097520C" w:rsidP="0097520C">
      <w:pPr>
        <w:pStyle w:val="ListParagraph"/>
        <w:numPr>
          <w:ilvl w:val="0"/>
          <w:numId w:val="33"/>
        </w:numPr>
        <w:rPr>
          <w:rFonts w:eastAsiaTheme="majorEastAsia" w:cstheme="majorBidi"/>
          <w:szCs w:val="20"/>
        </w:rPr>
      </w:pPr>
      <w:r w:rsidRPr="0097520C">
        <w:rPr>
          <w:rFonts w:eastAsiaTheme="majorEastAsia" w:cstheme="majorBidi"/>
          <w:szCs w:val="20"/>
        </w:rPr>
        <w:t>2025 - Feasibility and fidelity demonstrated</w:t>
      </w:r>
      <w:r>
        <w:rPr>
          <w:rFonts w:eastAsiaTheme="majorEastAsia" w:cstheme="majorBidi"/>
          <w:szCs w:val="20"/>
        </w:rPr>
        <w:t>.</w:t>
      </w:r>
      <w:r w:rsidRPr="0097520C">
        <w:rPr>
          <w:rFonts w:eastAsiaTheme="majorEastAsia" w:cstheme="majorBidi"/>
          <w:szCs w:val="20"/>
        </w:rPr>
        <w:t xml:space="preserve"> </w:t>
      </w:r>
    </w:p>
    <w:p w14:paraId="624B9092" w14:textId="77777777" w:rsidR="00231EDB" w:rsidRPr="00983181" w:rsidRDefault="00CA188A" w:rsidP="00983181">
      <w:pPr>
        <w:pStyle w:val="Heading5"/>
        <w:rPr>
          <w:lang w:val="en-US"/>
        </w:rPr>
      </w:pPr>
      <w:r w:rsidRPr="00983181">
        <w:rPr>
          <w:lang w:val="en-US"/>
        </w:rPr>
        <w:t xml:space="preserve">Stakeholders: </w:t>
      </w:r>
    </w:p>
    <w:p w14:paraId="5AA60A81" w14:textId="3565ACD1" w:rsidR="00CA188A" w:rsidRPr="00CA188A" w:rsidRDefault="007D3706" w:rsidP="00A84786">
      <w:r w:rsidRPr="007D3706">
        <w:t>Clinician-researchers; Funders; Policymakers</w:t>
      </w:r>
      <w:r w:rsidR="00F16328">
        <w:t>;</w:t>
      </w:r>
      <w:r w:rsidRPr="007D3706">
        <w:t xml:space="preserve"> </w:t>
      </w:r>
      <w:r w:rsidR="00F16328">
        <w:t xml:space="preserve">Research </w:t>
      </w:r>
      <w:r w:rsidR="007F5592">
        <w:t>o</w:t>
      </w:r>
      <w:r w:rsidR="00F16328">
        <w:t>rganisation;</w:t>
      </w:r>
      <w:r w:rsidRPr="007D3706">
        <w:t xml:space="preserve"> </w:t>
      </w:r>
      <w:r w:rsidR="007F5592">
        <w:t xml:space="preserve">Tertiary institute; Industry; </w:t>
      </w:r>
      <w:r w:rsidRPr="007D3706">
        <w:t>Health service</w:t>
      </w:r>
      <w:r w:rsidR="00F16328">
        <w:t>;</w:t>
      </w:r>
      <w:r w:rsidRPr="007D3706">
        <w:t xml:space="preserve"> Consumers and community</w:t>
      </w:r>
      <w:r w:rsidR="0014133A">
        <w:t>.</w:t>
      </w:r>
    </w:p>
    <w:p w14:paraId="2EEDCF81" w14:textId="77777777" w:rsidR="00CA188A" w:rsidRPr="00983181" w:rsidRDefault="00CA188A" w:rsidP="00983181">
      <w:pPr>
        <w:pStyle w:val="Heading5"/>
      </w:pPr>
      <w:r w:rsidRPr="00983181">
        <w:t>Stages:</w:t>
      </w:r>
    </w:p>
    <w:p w14:paraId="3199E40C" w14:textId="0FFEDEA2" w:rsidR="00B45FE1" w:rsidRPr="00B45FE1" w:rsidRDefault="00B45FE1" w:rsidP="00B45FE1">
      <w:pPr>
        <w:pStyle w:val="ListParagraph"/>
        <w:numPr>
          <w:ilvl w:val="0"/>
          <w:numId w:val="27"/>
        </w:numPr>
        <w:rPr>
          <w:lang w:val="en-US"/>
        </w:rPr>
      </w:pPr>
      <w:r w:rsidRPr="00B45FE1">
        <w:rPr>
          <w:lang w:val="en-US"/>
        </w:rPr>
        <w:t>Targeted intervention translated into a scalable service delivery model</w:t>
      </w:r>
      <w:r w:rsidR="00A44127">
        <w:rPr>
          <w:lang w:val="en-US"/>
        </w:rPr>
        <w:t>.</w:t>
      </w:r>
    </w:p>
    <w:p w14:paraId="564F3BDF" w14:textId="3485E715" w:rsidR="00B05DFF" w:rsidRPr="00B05DFF" w:rsidRDefault="00B05DFF" w:rsidP="00B05DFF">
      <w:pPr>
        <w:pStyle w:val="ListParagraph"/>
        <w:numPr>
          <w:ilvl w:val="0"/>
          <w:numId w:val="27"/>
        </w:numPr>
        <w:rPr>
          <w:lang w:val="en-US"/>
        </w:rPr>
      </w:pPr>
      <w:r w:rsidRPr="00B05DFF">
        <w:rPr>
          <w:lang w:val="en-US"/>
        </w:rPr>
        <w:t>Cross-system partnerships established to support implementation and delivery</w:t>
      </w:r>
      <w:r w:rsidR="00A44127">
        <w:rPr>
          <w:lang w:val="en-US"/>
        </w:rPr>
        <w:t>.</w:t>
      </w:r>
    </w:p>
    <w:p w14:paraId="643BD93A" w14:textId="55E04CD4" w:rsidR="0014133A" w:rsidRPr="00B26041" w:rsidRDefault="00B26041" w:rsidP="00B26041">
      <w:pPr>
        <w:pStyle w:val="ListParagraph"/>
        <w:numPr>
          <w:ilvl w:val="0"/>
          <w:numId w:val="27"/>
        </w:numPr>
        <w:rPr>
          <w:lang w:val="en-US"/>
        </w:rPr>
      </w:pPr>
      <w:r w:rsidRPr="00B26041">
        <w:rPr>
          <w:lang w:val="en-US"/>
        </w:rPr>
        <w:t xml:space="preserve">Processes </w:t>
      </w:r>
      <w:proofErr w:type="gramStart"/>
      <w:r w:rsidRPr="00B26041">
        <w:rPr>
          <w:lang w:val="en-US"/>
        </w:rPr>
        <w:t>integrated</w:t>
      </w:r>
      <w:proofErr w:type="gramEnd"/>
      <w:r w:rsidRPr="00B26041">
        <w:rPr>
          <w:lang w:val="en-US"/>
        </w:rPr>
        <w:t xml:space="preserve"> into existing workflows</w:t>
      </w:r>
      <w:r w:rsidR="0014133A" w:rsidRPr="00B26041">
        <w:rPr>
          <w:lang w:val="en-US"/>
        </w:rPr>
        <w:t>.</w:t>
      </w:r>
    </w:p>
    <w:p w14:paraId="3E3998D4" w14:textId="7E2BAEE4" w:rsidR="00CA188A" w:rsidRPr="00CA188A" w:rsidRDefault="00A62143" w:rsidP="00894D2B">
      <w:pPr>
        <w:pStyle w:val="Heading4"/>
      </w:pPr>
      <w:r w:rsidRPr="00A62143">
        <w:lastRenderedPageBreak/>
        <w:t xml:space="preserve">Transition to health system ownership </w:t>
      </w:r>
      <w:r w:rsidR="00CA188A" w:rsidRPr="00CA188A">
        <w:t>(20</w:t>
      </w:r>
      <w:r w:rsidR="00F13A2B">
        <w:t>2</w:t>
      </w:r>
      <w:r>
        <w:t>5-2026</w:t>
      </w:r>
      <w:r w:rsidR="00CA188A" w:rsidRPr="00CA188A">
        <w:t>)</w:t>
      </w:r>
    </w:p>
    <w:p w14:paraId="2A1C7133" w14:textId="71C5293C" w:rsidR="006C405D" w:rsidRDefault="005B6B27" w:rsidP="00231EDB">
      <w:r w:rsidRPr="005B6B27">
        <w:t>With feasibility, fidelity and scalability established, attention turned to building the economic case for sustained delivery in SA. National cost-effectiveness analyses showed that routine omega</w:t>
      </w:r>
      <w:r w:rsidRPr="005B6B27">
        <w:noBreakHyphen/>
        <w:t>3 testing and targeted supplementation would prevent around 640 early preterm births annually delivering significant cost savings to the health system, returning $3 for every dollar invested.</w:t>
      </w:r>
      <w:r w:rsidR="00270110">
        <w:rPr>
          <w:rStyle w:val="EndnoteReference"/>
        </w:rPr>
        <w:endnoteReference w:id="6"/>
      </w:r>
      <w:r w:rsidRPr="005B6B27">
        <w:t xml:space="preserve"> These findings underpinned a formal business case for ongoing delivery through the state’s publicly funded pathology service. Barriers to sustainable, equitable and reliable delivery once research support ceases were identified and addressed through a forum and transition committee chaired by Health Translation SA, an NHMRC Accredited Research Translation Centre</w:t>
      </w:r>
      <w:r w:rsidR="006C405D">
        <w:t>.</w:t>
      </w:r>
    </w:p>
    <w:p w14:paraId="46FEABA9" w14:textId="77264248" w:rsidR="006C405D" w:rsidRPr="00983181" w:rsidRDefault="004704A0" w:rsidP="00983181">
      <w:pPr>
        <w:pStyle w:val="Heading5"/>
        <w:rPr>
          <w:lang w:val="en-US"/>
        </w:rPr>
      </w:pPr>
      <w:r w:rsidRPr="00983181">
        <w:rPr>
          <w:lang w:val="en-US"/>
        </w:rPr>
        <w:t>T</w:t>
      </w:r>
      <w:r w:rsidR="006C405D" w:rsidRPr="00983181">
        <w:rPr>
          <w:lang w:val="en-US"/>
        </w:rPr>
        <w:t xml:space="preserve">ranslation: </w:t>
      </w:r>
    </w:p>
    <w:p w14:paraId="2E596413" w14:textId="4A25F5C4" w:rsidR="004704A0" w:rsidRPr="004704A0" w:rsidRDefault="004704A0" w:rsidP="00B7474C">
      <w:pPr>
        <w:pStyle w:val="ListParagraph"/>
        <w:numPr>
          <w:ilvl w:val="0"/>
          <w:numId w:val="34"/>
        </w:numPr>
        <w:rPr>
          <w:rStyle w:val="Heading6Char"/>
          <w:rFonts w:eastAsiaTheme="minorEastAsia" w:cs="Times New Roman"/>
          <w:i w:val="0"/>
          <w:iCs w:val="0"/>
          <w:color w:val="000000" w:themeColor="text1"/>
          <w:szCs w:val="18"/>
          <w:lang w:val="en-US"/>
        </w:rPr>
      </w:pPr>
      <w:r w:rsidRPr="004704A0">
        <w:rPr>
          <w:rStyle w:val="Heading6Char"/>
          <w:i w:val="0"/>
          <w:iCs w:val="0"/>
          <w:color w:val="000000" w:themeColor="text1"/>
          <w:lang w:val="en-US"/>
        </w:rPr>
        <w:t xml:space="preserve">2026 </w:t>
      </w:r>
      <w:r w:rsidR="00B7474C">
        <w:rPr>
          <w:rStyle w:val="Heading6Char"/>
          <w:i w:val="0"/>
          <w:iCs w:val="0"/>
          <w:color w:val="000000" w:themeColor="text1"/>
          <w:lang w:val="en-US"/>
        </w:rPr>
        <w:t>-</w:t>
      </w:r>
      <w:r w:rsidRPr="004704A0">
        <w:rPr>
          <w:rStyle w:val="Heading6Char"/>
          <w:i w:val="0"/>
          <w:iCs w:val="0"/>
          <w:color w:val="000000" w:themeColor="text1"/>
          <w:lang w:val="en-US"/>
        </w:rPr>
        <w:t xml:space="preserve"> Economic case established</w:t>
      </w:r>
      <w:r>
        <w:rPr>
          <w:rStyle w:val="Heading6Char"/>
          <w:i w:val="0"/>
          <w:iCs w:val="0"/>
          <w:color w:val="000000" w:themeColor="text1"/>
          <w:lang w:val="en-US"/>
        </w:rPr>
        <w:t>.</w:t>
      </w:r>
      <w:r w:rsidRPr="004704A0">
        <w:rPr>
          <w:rStyle w:val="Heading6Char"/>
          <w:i w:val="0"/>
          <w:iCs w:val="0"/>
          <w:color w:val="000000" w:themeColor="text1"/>
          <w:lang w:val="en-US"/>
        </w:rPr>
        <w:t xml:space="preserve"> </w:t>
      </w:r>
      <w:r w:rsidR="00E9624D">
        <w:rPr>
          <w:rStyle w:val="Heading6Char"/>
          <w:i w:val="0"/>
          <w:iCs w:val="0"/>
          <w:color w:val="000000" w:themeColor="text1"/>
          <w:lang w:val="en-US"/>
        </w:rPr>
        <w:t>Free antenatal omega-3 testing a</w:t>
      </w:r>
      <w:r w:rsidR="00B7474C">
        <w:rPr>
          <w:rStyle w:val="Heading6Char"/>
          <w:i w:val="0"/>
          <w:iCs w:val="0"/>
          <w:color w:val="000000" w:themeColor="text1"/>
          <w:lang w:val="en-US"/>
        </w:rPr>
        <w:t>vailable in South Australia.</w:t>
      </w:r>
    </w:p>
    <w:p w14:paraId="091CBC99" w14:textId="4094FA76" w:rsidR="00231EDB" w:rsidRPr="00983181" w:rsidRDefault="00CA188A" w:rsidP="00983181">
      <w:pPr>
        <w:pStyle w:val="Heading5"/>
        <w:rPr>
          <w:lang w:val="en-US"/>
        </w:rPr>
      </w:pPr>
      <w:r w:rsidRPr="00983181">
        <w:rPr>
          <w:lang w:val="en-US"/>
        </w:rPr>
        <w:t xml:space="preserve">Stakeholders: </w:t>
      </w:r>
    </w:p>
    <w:p w14:paraId="3E9F6CBC" w14:textId="412F5531" w:rsidR="00CA188A" w:rsidRPr="00123F1C" w:rsidRDefault="007D6DFF" w:rsidP="00231EDB">
      <w:pPr>
        <w:rPr>
          <w:rFonts w:eastAsiaTheme="majorEastAsia" w:cstheme="majorBidi"/>
          <w:color w:val="09002E" w:themeColor="text2"/>
          <w:szCs w:val="20"/>
          <w:lang w:val="en-US"/>
        </w:rPr>
      </w:pPr>
      <w:r w:rsidRPr="007D6DFF">
        <w:t>Clinician-researchers; Funders; Policymakers</w:t>
      </w:r>
      <w:r w:rsidR="00122126">
        <w:t>;</w:t>
      </w:r>
      <w:r w:rsidRPr="007D6DFF">
        <w:t xml:space="preserve"> </w:t>
      </w:r>
      <w:r w:rsidR="00B06867">
        <w:t>Research organisation</w:t>
      </w:r>
      <w:r w:rsidR="00122126">
        <w:t>;</w:t>
      </w:r>
      <w:r w:rsidRPr="007D6DFF">
        <w:t xml:space="preserve"> </w:t>
      </w:r>
      <w:r w:rsidR="00B06867">
        <w:t>Tertiary institute</w:t>
      </w:r>
      <w:r w:rsidR="00122126">
        <w:t xml:space="preserve">; Industry; </w:t>
      </w:r>
      <w:r w:rsidRPr="007D6DFF">
        <w:t>Health service</w:t>
      </w:r>
      <w:r w:rsidR="00122126">
        <w:t>;</w:t>
      </w:r>
      <w:r w:rsidRPr="007D6DFF">
        <w:t xml:space="preserve"> Consumers and community</w:t>
      </w:r>
      <w:r w:rsidR="00CA188A" w:rsidRPr="00CA188A">
        <w:t>.</w:t>
      </w:r>
    </w:p>
    <w:p w14:paraId="051B38D9" w14:textId="77777777" w:rsidR="00CA188A" w:rsidRPr="00983181" w:rsidRDefault="00CA188A" w:rsidP="00983181">
      <w:pPr>
        <w:pStyle w:val="Heading5"/>
      </w:pPr>
      <w:r w:rsidRPr="00983181">
        <w:t>Stages:</w:t>
      </w:r>
    </w:p>
    <w:p w14:paraId="5AF41880" w14:textId="017B41DB" w:rsidR="008D543F" w:rsidRPr="002477B3" w:rsidRDefault="002477B3" w:rsidP="002477B3">
      <w:pPr>
        <w:pStyle w:val="ListParagraph"/>
        <w:numPr>
          <w:ilvl w:val="0"/>
          <w:numId w:val="27"/>
        </w:numPr>
        <w:rPr>
          <w:lang w:val="en-US"/>
        </w:rPr>
      </w:pPr>
      <w:r w:rsidRPr="002477B3">
        <w:rPr>
          <w:lang w:val="en-US"/>
        </w:rPr>
        <w:t>Cost-effectiveness modelled to support ongoing service delivery and national scale-up</w:t>
      </w:r>
      <w:r w:rsidR="008D543F" w:rsidRPr="002477B3">
        <w:rPr>
          <w:lang w:val="en-US"/>
        </w:rPr>
        <w:t>.</w:t>
      </w:r>
    </w:p>
    <w:p w14:paraId="5083EB83" w14:textId="660D68CE" w:rsidR="00BD58B0" w:rsidRPr="00BD58B0" w:rsidRDefault="00BD58B0" w:rsidP="00BD58B0">
      <w:pPr>
        <w:pStyle w:val="ListParagraph"/>
        <w:numPr>
          <w:ilvl w:val="0"/>
          <w:numId w:val="27"/>
        </w:numPr>
      </w:pPr>
      <w:r w:rsidRPr="00BD58B0">
        <w:t>Remaining system barriers identified and addressed</w:t>
      </w:r>
      <w:r>
        <w:t>.</w:t>
      </w:r>
    </w:p>
    <w:p w14:paraId="1A11FE47" w14:textId="73574375" w:rsidR="007D6DFF" w:rsidRPr="00CA188A" w:rsidRDefault="004C52F7" w:rsidP="004C52F7">
      <w:pPr>
        <w:pStyle w:val="ListParagraph"/>
        <w:numPr>
          <w:ilvl w:val="0"/>
          <w:numId w:val="27"/>
        </w:numPr>
      </w:pPr>
      <w:r w:rsidRPr="004C52F7">
        <w:t>Operational responsibility transferred with governance established for ongoing delivery</w:t>
      </w:r>
    </w:p>
    <w:p w14:paraId="151106EA" w14:textId="389AE27A" w:rsidR="00CA188A" w:rsidRPr="00CA188A" w:rsidRDefault="00CA188A" w:rsidP="00894D2B">
      <w:pPr>
        <w:pStyle w:val="Heading4"/>
      </w:pPr>
      <w:r w:rsidRPr="00CA188A">
        <w:t>I</w:t>
      </w:r>
      <w:r w:rsidR="00894D2B">
        <w:t>mpact</w:t>
      </w:r>
      <w:r w:rsidR="00FA332F">
        <w:rPr>
          <w:rStyle w:val="FootnoteReference"/>
        </w:rPr>
        <w:footnoteReference w:id="1"/>
      </w:r>
      <w:r w:rsidRPr="00CA188A">
        <w:t xml:space="preserve"> </w:t>
      </w:r>
    </w:p>
    <w:p w14:paraId="52EC47CD" w14:textId="77777777" w:rsidR="008271AF" w:rsidRPr="008271AF" w:rsidRDefault="008271AF" w:rsidP="008271AF">
      <w:r w:rsidRPr="008271AF">
        <w:t>Every pregnant woman in South Australia is now offered routine omega</w:t>
      </w:r>
      <w:r w:rsidRPr="008271AF">
        <w:noBreakHyphen/>
        <w:t>3 testing in early pregnancy, with targeted advice regarding supplementation.  Current uptake is around 50%, with over 40,000 women tested to date. Up to 76 early preterm births per year are projected to be prevented in South Australia by targeting supplementation to the one in six women with low omega</w:t>
      </w:r>
      <w:r w:rsidRPr="008271AF">
        <w:noBreakHyphen/>
        <w:t xml:space="preserve">3. Early preterm birth prevention matters because babies born this early face the highest risks of death, lifelong disability and chronic disease, with major impacts on families, the health system, and society.  </w:t>
      </w:r>
    </w:p>
    <w:p w14:paraId="4D8B6ACC" w14:textId="77777777" w:rsidR="008271AF" w:rsidRPr="008271AF" w:rsidRDefault="008271AF" w:rsidP="008271AF">
      <w:r w:rsidRPr="008271AF">
        <w:t>Scale</w:t>
      </w:r>
      <w:r w:rsidRPr="008271AF">
        <w:noBreakHyphen/>
        <w:t>up to other Australian jurisdictions is now underway.</w:t>
      </w:r>
    </w:p>
    <w:p w14:paraId="74CADC31" w14:textId="3A444DCD" w:rsidR="0096267B" w:rsidRPr="008271AF" w:rsidRDefault="008271AF" w:rsidP="001E259D">
      <w:r w:rsidRPr="008271AF">
        <w:t>The Om</w:t>
      </w:r>
      <w:r w:rsidR="0048651E">
        <w:t>ega</w:t>
      </w:r>
      <w:r w:rsidRPr="008271AF">
        <w:t>-3</w:t>
      </w:r>
      <w:r w:rsidR="00184737">
        <w:t xml:space="preserve"> </w:t>
      </w:r>
      <w:r w:rsidRPr="008271AF">
        <w:t>Test-and-Treat Program model is also being adopted in parts of Europe and North America</w:t>
      </w:r>
      <w:r w:rsidR="0096267B" w:rsidRPr="0096267B">
        <w:rPr>
          <w:lang w:val="en-US"/>
        </w:rPr>
        <w:t>.</w:t>
      </w:r>
    </w:p>
    <w:p w14:paraId="0FAA81D4" w14:textId="77777777" w:rsidR="001E259D" w:rsidRPr="00983181" w:rsidRDefault="00CA188A" w:rsidP="00983181">
      <w:pPr>
        <w:pStyle w:val="Heading5"/>
        <w:rPr>
          <w:lang w:val="en-US"/>
        </w:rPr>
      </w:pPr>
      <w:r w:rsidRPr="00983181">
        <w:rPr>
          <w:lang w:val="en-US"/>
        </w:rPr>
        <w:t xml:space="preserve">Stakeholders: </w:t>
      </w:r>
    </w:p>
    <w:p w14:paraId="50512D0F" w14:textId="77777777" w:rsidR="00237652" w:rsidRPr="00123F1C" w:rsidRDefault="00237652" w:rsidP="00A84786">
      <w:pPr>
        <w:rPr>
          <w:rFonts w:eastAsiaTheme="majorEastAsia" w:cstheme="majorBidi"/>
          <w:color w:val="09002E" w:themeColor="text2"/>
          <w:szCs w:val="20"/>
          <w:lang w:val="en-US"/>
        </w:rPr>
      </w:pPr>
      <w:r w:rsidRPr="007D6DFF">
        <w:t>Clinician-researchers; Funders; Policymakers</w:t>
      </w:r>
      <w:r>
        <w:t>;</w:t>
      </w:r>
      <w:r w:rsidRPr="007D6DFF">
        <w:t xml:space="preserve"> </w:t>
      </w:r>
      <w:r>
        <w:t>Research organisation;</w:t>
      </w:r>
      <w:r w:rsidRPr="007D6DFF">
        <w:t xml:space="preserve"> </w:t>
      </w:r>
      <w:r>
        <w:t xml:space="preserve">Tertiary institute; Industry; </w:t>
      </w:r>
      <w:r w:rsidRPr="007D6DFF">
        <w:t>Health service</w:t>
      </w:r>
      <w:r>
        <w:t>;</w:t>
      </w:r>
      <w:r w:rsidRPr="007D6DFF">
        <w:t xml:space="preserve"> Consumers and community</w:t>
      </w:r>
      <w:r w:rsidRPr="00CA188A">
        <w:t>.</w:t>
      </w:r>
    </w:p>
    <w:p w14:paraId="3E3512D4" w14:textId="77777777" w:rsidR="00950D92" w:rsidRPr="0022668B" w:rsidRDefault="00950D92" w:rsidP="008300FA"/>
    <w:sectPr w:rsidR="00950D92" w:rsidRPr="0022668B" w:rsidSect="002308EE">
      <w:headerReference w:type="default" r:id="rId12"/>
      <w:footerReference w:type="default" r:id="rId13"/>
      <w:headerReference w:type="first" r:id="rId14"/>
      <w:footerReference w:type="first" r:id="rId15"/>
      <w:endnotePr>
        <w:numFmt w:val="decimal"/>
      </w:endnotePr>
      <w:pgSz w:w="11906" w:h="16838" w:code="9"/>
      <w:pgMar w:top="1814" w:right="1134" w:bottom="1565" w:left="90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B52F" w14:textId="77777777" w:rsidR="00C111C4" w:rsidRDefault="00C111C4">
      <w:pPr>
        <w:spacing w:before="0" w:after="0" w:line="240" w:lineRule="auto"/>
      </w:pPr>
      <w:r>
        <w:separator/>
      </w:r>
    </w:p>
  </w:endnote>
  <w:endnote w:type="continuationSeparator" w:id="0">
    <w:p w14:paraId="30158B17" w14:textId="77777777" w:rsidR="00C111C4" w:rsidRDefault="00C111C4">
      <w:pPr>
        <w:spacing w:before="0" w:after="0" w:line="240" w:lineRule="auto"/>
      </w:pPr>
      <w:r>
        <w:continuationSeparator/>
      </w:r>
    </w:p>
  </w:endnote>
  <w:endnote w:id="1">
    <w:p w14:paraId="5C0B1246" w14:textId="77777777" w:rsidR="0069399F" w:rsidRPr="00983181" w:rsidRDefault="003B67BA" w:rsidP="003F0118">
      <w:pPr>
        <w:pStyle w:val="EndnoteText"/>
        <w:rPr>
          <w:rFonts w:ascii="Gotham Book" w:hAnsi="Gotham Book"/>
        </w:rPr>
      </w:pPr>
      <w:r w:rsidRPr="00983181">
        <w:rPr>
          <w:rStyle w:val="EndnoteReference"/>
          <w:rFonts w:ascii="Gotham Book" w:hAnsi="Gotham Book"/>
        </w:rPr>
        <w:endnoteRef/>
      </w:r>
      <w:r w:rsidRPr="00983181">
        <w:rPr>
          <w:rFonts w:ascii="Gotham Book" w:hAnsi="Gotham Book"/>
        </w:rPr>
        <w:t xml:space="preserve"> </w:t>
      </w:r>
      <w:r w:rsidR="000F581E" w:rsidRPr="00983181">
        <w:rPr>
          <w:rFonts w:ascii="Gotham Book" w:hAnsi="Gotham Book"/>
        </w:rPr>
        <w:t>Makrides M et</w:t>
      </w:r>
      <w:r w:rsidR="000F581E" w:rsidRPr="00983181">
        <w:rPr>
          <w:rFonts w:ascii="Cambria Math" w:hAnsi="Cambria Math" w:cs="Cambria Math"/>
        </w:rPr>
        <w:t> </w:t>
      </w:r>
      <w:r w:rsidR="000F581E" w:rsidRPr="00983181">
        <w:rPr>
          <w:rFonts w:ascii="Gotham Book" w:hAnsi="Gotham Book"/>
        </w:rPr>
        <w:t>al. (2010). Effect of DHA supplementation during pregnancy on maternal depression and neurodevelopment of young children: a randomised controlled trial. JAMA. 304: 1675</w:t>
      </w:r>
      <w:r w:rsidR="000F581E" w:rsidRPr="00983181">
        <w:rPr>
          <w:rFonts w:ascii="Gotham Book" w:hAnsi="Gotham Book" w:cs="Gotham Book"/>
        </w:rPr>
        <w:t>–</w:t>
      </w:r>
      <w:r w:rsidR="000F581E" w:rsidRPr="00983181">
        <w:rPr>
          <w:rFonts w:ascii="Gotham Book" w:hAnsi="Gotham Book"/>
        </w:rPr>
        <w:t xml:space="preserve">1683. </w:t>
      </w:r>
    </w:p>
    <w:p w14:paraId="67528552" w14:textId="09F162A2" w:rsidR="003B67BA" w:rsidRPr="00983181" w:rsidRDefault="0069399F" w:rsidP="003F0118">
      <w:pPr>
        <w:pStyle w:val="EndnoteText"/>
        <w:rPr>
          <w:rFonts w:ascii="Gotham Book" w:hAnsi="Gotham Book"/>
        </w:rPr>
      </w:pPr>
      <w:hyperlink r:id="rId1" w:history="1">
        <w:r w:rsidRPr="00983181">
          <w:rPr>
            <w:rStyle w:val="Hyperlink"/>
            <w:rFonts w:ascii="Gotham Book" w:hAnsi="Gotham Book"/>
          </w:rPr>
          <w:t>https://doi.org/10.1001/jama.2010.1507</w:t>
        </w:r>
      </w:hyperlink>
    </w:p>
    <w:p w14:paraId="2709EC1E" w14:textId="77777777" w:rsidR="0069399F" w:rsidRPr="00983181" w:rsidRDefault="0069399F" w:rsidP="003F0118">
      <w:pPr>
        <w:pStyle w:val="EndnoteText"/>
        <w:rPr>
          <w:rFonts w:ascii="Gotham Book" w:hAnsi="Gotham Book"/>
          <w:lang w:val="en-US"/>
        </w:rPr>
      </w:pPr>
    </w:p>
  </w:endnote>
  <w:endnote w:id="2">
    <w:p w14:paraId="54000135" w14:textId="49F3B9A3" w:rsidR="00CE4E93" w:rsidRPr="00983181" w:rsidRDefault="00CE4E93" w:rsidP="003F0118">
      <w:pPr>
        <w:pStyle w:val="EndnoteText"/>
        <w:rPr>
          <w:rFonts w:ascii="Gotham Book" w:hAnsi="Gotham Book"/>
        </w:rPr>
      </w:pPr>
      <w:r w:rsidRPr="00983181">
        <w:rPr>
          <w:rStyle w:val="EndnoteReference"/>
          <w:rFonts w:ascii="Gotham Book" w:hAnsi="Gotham Book"/>
        </w:rPr>
        <w:endnoteRef/>
      </w:r>
      <w:r w:rsidRPr="00983181">
        <w:rPr>
          <w:rFonts w:ascii="Gotham Book" w:hAnsi="Gotham Book"/>
        </w:rPr>
        <w:t xml:space="preserve"> </w:t>
      </w:r>
      <w:r w:rsidR="008B041D" w:rsidRPr="00983181">
        <w:rPr>
          <w:rFonts w:ascii="Gotham Book" w:hAnsi="Gotham Book"/>
        </w:rPr>
        <w:t>Middleton P et</w:t>
      </w:r>
      <w:r w:rsidR="008B041D" w:rsidRPr="00983181">
        <w:rPr>
          <w:rFonts w:ascii="Cambria Math" w:hAnsi="Cambria Math" w:cs="Cambria Math"/>
        </w:rPr>
        <w:t> </w:t>
      </w:r>
      <w:r w:rsidR="008B041D" w:rsidRPr="00983181">
        <w:rPr>
          <w:rFonts w:ascii="Gotham Book" w:hAnsi="Gotham Book"/>
        </w:rPr>
        <w:t>al. (2018). Omega</w:t>
      </w:r>
      <w:r w:rsidR="008B041D" w:rsidRPr="00983181">
        <w:rPr>
          <w:rFonts w:ascii="Cambria Math" w:hAnsi="Cambria Math" w:cs="Cambria Math"/>
        </w:rPr>
        <w:t>‑</w:t>
      </w:r>
      <w:r w:rsidR="008B041D" w:rsidRPr="00983181">
        <w:rPr>
          <w:rFonts w:ascii="Gotham Book" w:hAnsi="Gotham Book"/>
        </w:rPr>
        <w:t>3 fatty acid addition during pregnancy. Cochrane Database Syst Rev. 11: CD003402.</w:t>
      </w:r>
      <w:r w:rsidR="00455582" w:rsidRPr="00983181">
        <w:rPr>
          <w:rFonts w:ascii="Gotham Book" w:hAnsi="Gotham Book"/>
        </w:rPr>
        <w:t xml:space="preserve"> </w:t>
      </w:r>
      <w:hyperlink r:id="rId2" w:history="1">
        <w:r w:rsidR="00455582" w:rsidRPr="00983181">
          <w:rPr>
            <w:rStyle w:val="Hyperlink"/>
            <w:rFonts w:ascii="Gotham Book" w:hAnsi="Gotham Book"/>
          </w:rPr>
          <w:t>https://doi.org/10.1002/14651858.CD003402.pub3</w:t>
        </w:r>
      </w:hyperlink>
    </w:p>
    <w:p w14:paraId="0F5901AF" w14:textId="77777777" w:rsidR="0069399F" w:rsidRPr="00983181" w:rsidRDefault="0069399F">
      <w:pPr>
        <w:pStyle w:val="EndnoteText"/>
        <w:rPr>
          <w:rFonts w:ascii="Gotham Book" w:hAnsi="Gotham Book"/>
          <w:lang w:val="en-US"/>
        </w:rPr>
      </w:pPr>
    </w:p>
  </w:endnote>
  <w:endnote w:id="3">
    <w:p w14:paraId="37053E67" w14:textId="446056EA" w:rsidR="00366B28" w:rsidRPr="00983181" w:rsidRDefault="00366B28" w:rsidP="003F0118">
      <w:pPr>
        <w:pStyle w:val="EndnoteText"/>
        <w:rPr>
          <w:rFonts w:ascii="Gotham Book" w:hAnsi="Gotham Book"/>
        </w:rPr>
      </w:pPr>
      <w:r w:rsidRPr="00983181">
        <w:rPr>
          <w:rStyle w:val="EndnoteReference"/>
          <w:rFonts w:ascii="Gotham Book" w:hAnsi="Gotham Book"/>
        </w:rPr>
        <w:endnoteRef/>
      </w:r>
      <w:r w:rsidRPr="00983181">
        <w:rPr>
          <w:rFonts w:ascii="Gotham Book" w:hAnsi="Gotham Book"/>
        </w:rPr>
        <w:t xml:space="preserve"> </w:t>
      </w:r>
      <w:r w:rsidR="0069399F" w:rsidRPr="00983181">
        <w:rPr>
          <w:rFonts w:ascii="Gotham Book" w:hAnsi="Gotham Book"/>
        </w:rPr>
        <w:t>Makrides M et</w:t>
      </w:r>
      <w:r w:rsidR="0069399F" w:rsidRPr="00983181">
        <w:rPr>
          <w:rFonts w:ascii="Cambria Math" w:hAnsi="Cambria Math" w:cs="Cambria Math"/>
        </w:rPr>
        <w:t> </w:t>
      </w:r>
      <w:r w:rsidR="0069399F" w:rsidRPr="00983181">
        <w:rPr>
          <w:rFonts w:ascii="Gotham Book" w:hAnsi="Gotham Book"/>
        </w:rPr>
        <w:t>al. (2019). Randomised trial of prenatal n</w:t>
      </w:r>
      <w:r w:rsidR="0069399F" w:rsidRPr="00983181">
        <w:rPr>
          <w:rFonts w:ascii="Cambria Math" w:hAnsi="Cambria Math" w:cs="Cambria Math"/>
        </w:rPr>
        <w:t>‑</w:t>
      </w:r>
      <w:r w:rsidR="0069399F" w:rsidRPr="00983181">
        <w:rPr>
          <w:rFonts w:ascii="Gotham Book" w:hAnsi="Gotham Book"/>
        </w:rPr>
        <w:t>3 fatty acid supplementation and preterm delivery. N Engl J Med. 381: 1035</w:t>
      </w:r>
      <w:r w:rsidR="0069399F" w:rsidRPr="00983181">
        <w:rPr>
          <w:rFonts w:ascii="Gotham Book" w:hAnsi="Gotham Book" w:cs="Arial"/>
        </w:rPr>
        <w:t>–</w:t>
      </w:r>
      <w:r w:rsidR="0069399F" w:rsidRPr="00983181">
        <w:rPr>
          <w:rFonts w:ascii="Gotham Book" w:hAnsi="Gotham Book"/>
        </w:rPr>
        <w:t xml:space="preserve">1045. </w:t>
      </w:r>
      <w:hyperlink r:id="rId3" w:history="1">
        <w:r w:rsidR="0069399F" w:rsidRPr="00983181">
          <w:rPr>
            <w:rStyle w:val="Hyperlink"/>
            <w:rFonts w:ascii="Gotham Book" w:hAnsi="Gotham Book"/>
          </w:rPr>
          <w:t>https://doi.org/10.1056/NEJMoa1816832</w:t>
        </w:r>
      </w:hyperlink>
    </w:p>
    <w:p w14:paraId="371D405F" w14:textId="77777777" w:rsidR="00286E4D" w:rsidRPr="00983181" w:rsidRDefault="00286E4D" w:rsidP="003F0118">
      <w:pPr>
        <w:pStyle w:val="EndnoteText"/>
        <w:rPr>
          <w:rFonts w:ascii="Gotham Book" w:hAnsi="Gotham Book"/>
          <w:lang w:val="en-US"/>
        </w:rPr>
      </w:pPr>
    </w:p>
  </w:endnote>
  <w:endnote w:id="4">
    <w:p w14:paraId="2E8FB366" w14:textId="6BA72781" w:rsidR="00286E4D" w:rsidRPr="00983181" w:rsidRDefault="00286E4D" w:rsidP="003F0118">
      <w:pPr>
        <w:pStyle w:val="EndnoteText"/>
        <w:rPr>
          <w:rFonts w:ascii="Gotham Book" w:hAnsi="Gotham Book"/>
        </w:rPr>
      </w:pPr>
      <w:r w:rsidRPr="00983181">
        <w:rPr>
          <w:rStyle w:val="EndnoteReference"/>
          <w:rFonts w:ascii="Gotham Book" w:hAnsi="Gotham Book"/>
        </w:rPr>
        <w:endnoteRef/>
      </w:r>
      <w:r w:rsidRPr="00983181">
        <w:rPr>
          <w:rFonts w:ascii="Gotham Book" w:hAnsi="Gotham Book"/>
        </w:rPr>
        <w:t xml:space="preserve"> </w:t>
      </w:r>
      <w:r w:rsidR="0044302C" w:rsidRPr="00983181">
        <w:rPr>
          <w:rFonts w:ascii="Gotham Book" w:hAnsi="Gotham Book"/>
        </w:rPr>
        <w:t>Simmonds LA et</w:t>
      </w:r>
      <w:r w:rsidR="0044302C" w:rsidRPr="00983181">
        <w:rPr>
          <w:rFonts w:ascii="Cambria Math" w:hAnsi="Cambria Math" w:cs="Cambria Math"/>
        </w:rPr>
        <w:t> </w:t>
      </w:r>
      <w:r w:rsidR="0044302C" w:rsidRPr="00983181">
        <w:rPr>
          <w:rFonts w:ascii="Gotham Book" w:hAnsi="Gotham Book"/>
        </w:rPr>
        <w:t>al. (2020). Omega</w:t>
      </w:r>
      <w:r w:rsidR="0044302C" w:rsidRPr="00983181">
        <w:rPr>
          <w:rFonts w:ascii="Cambria Math" w:hAnsi="Cambria Math" w:cs="Cambria Math"/>
        </w:rPr>
        <w:t>‑</w:t>
      </w:r>
      <w:r w:rsidR="0044302C" w:rsidRPr="00983181">
        <w:rPr>
          <w:rFonts w:ascii="Gotham Book" w:hAnsi="Gotham Book"/>
        </w:rPr>
        <w:t>3 fatty acid supplementation in pregnancy: baseline omega</w:t>
      </w:r>
      <w:r w:rsidR="0044302C" w:rsidRPr="00983181">
        <w:rPr>
          <w:rFonts w:ascii="Cambria Math" w:hAnsi="Cambria Math" w:cs="Cambria Math"/>
        </w:rPr>
        <w:t>‑</w:t>
      </w:r>
      <w:r w:rsidR="0044302C" w:rsidRPr="00983181">
        <w:rPr>
          <w:rFonts w:ascii="Gotham Book" w:hAnsi="Gotham Book"/>
        </w:rPr>
        <w:t xml:space="preserve">3 status and early preterm birth </w:t>
      </w:r>
      <w:r w:rsidR="0044302C" w:rsidRPr="00983181">
        <w:rPr>
          <w:rFonts w:ascii="Gotham Book" w:hAnsi="Gotham Book" w:cs="Arial"/>
        </w:rPr>
        <w:t>–</w:t>
      </w:r>
      <w:r w:rsidR="0044302C" w:rsidRPr="00983181">
        <w:rPr>
          <w:rFonts w:ascii="Gotham Book" w:hAnsi="Gotham Book"/>
        </w:rPr>
        <w:t xml:space="preserve"> exploratory analysis of a randomised controlled trial. BJOG. 127: 975</w:t>
      </w:r>
      <w:r w:rsidR="0044302C" w:rsidRPr="00983181">
        <w:rPr>
          <w:rFonts w:ascii="Gotham Book" w:hAnsi="Gotham Book" w:cs="Arial"/>
        </w:rPr>
        <w:t>–</w:t>
      </w:r>
      <w:r w:rsidR="0044302C" w:rsidRPr="00983181">
        <w:rPr>
          <w:rFonts w:ascii="Gotham Book" w:hAnsi="Gotham Book"/>
        </w:rPr>
        <w:t>981.</w:t>
      </w:r>
      <w:r w:rsidR="007E48FA" w:rsidRPr="00983181">
        <w:rPr>
          <w:rFonts w:ascii="Gotham Book" w:hAnsi="Gotham Book"/>
        </w:rPr>
        <w:t xml:space="preserve"> </w:t>
      </w:r>
      <w:hyperlink r:id="rId4" w:history="1">
        <w:r w:rsidR="006A11FD" w:rsidRPr="00983181">
          <w:rPr>
            <w:rStyle w:val="Hyperlink"/>
            <w:rFonts w:ascii="Gotham Book" w:hAnsi="Gotham Book"/>
          </w:rPr>
          <w:t>https://doi.org/10.1111/1471-0528.16168</w:t>
        </w:r>
      </w:hyperlink>
    </w:p>
    <w:p w14:paraId="4823C53D" w14:textId="77777777" w:rsidR="00911B1C" w:rsidRPr="00983181" w:rsidRDefault="00911B1C" w:rsidP="003F0118">
      <w:pPr>
        <w:pStyle w:val="EndnoteText"/>
        <w:rPr>
          <w:rFonts w:ascii="Gotham Book" w:hAnsi="Gotham Book"/>
          <w:lang w:val="en-US"/>
        </w:rPr>
      </w:pPr>
    </w:p>
  </w:endnote>
  <w:endnote w:id="5">
    <w:p w14:paraId="40B209EF" w14:textId="68143887" w:rsidR="00911B1C" w:rsidRPr="00983181" w:rsidRDefault="00911B1C" w:rsidP="003F0118">
      <w:pPr>
        <w:pStyle w:val="EndnoteText"/>
        <w:rPr>
          <w:rFonts w:ascii="Gotham Book" w:hAnsi="Gotham Book"/>
        </w:rPr>
      </w:pPr>
      <w:r w:rsidRPr="00983181">
        <w:rPr>
          <w:rStyle w:val="EndnoteReference"/>
          <w:rFonts w:ascii="Gotham Book" w:hAnsi="Gotham Book"/>
        </w:rPr>
        <w:endnoteRef/>
      </w:r>
      <w:r w:rsidRPr="00983181">
        <w:rPr>
          <w:rFonts w:ascii="Gotham Book" w:hAnsi="Gotham Book"/>
        </w:rPr>
        <w:t xml:space="preserve"> Best KP et</w:t>
      </w:r>
      <w:r w:rsidRPr="00983181">
        <w:rPr>
          <w:rFonts w:ascii="Cambria Math" w:hAnsi="Cambria Math" w:cs="Cambria Math"/>
        </w:rPr>
        <w:t> </w:t>
      </w:r>
      <w:r w:rsidRPr="00983181">
        <w:rPr>
          <w:rFonts w:ascii="Gotham Book" w:hAnsi="Gotham Book"/>
        </w:rPr>
        <w:t>al. (2025). The early implementation phase of the omega</w:t>
      </w:r>
      <w:r w:rsidRPr="00983181">
        <w:rPr>
          <w:rFonts w:ascii="Cambria Math" w:hAnsi="Cambria Math" w:cs="Cambria Math"/>
        </w:rPr>
        <w:t>‑</w:t>
      </w:r>
      <w:r w:rsidRPr="00983181">
        <w:rPr>
          <w:rFonts w:ascii="Gotham Book" w:hAnsi="Gotham Book"/>
        </w:rPr>
        <w:t>3 test</w:t>
      </w:r>
      <w:r w:rsidRPr="00983181">
        <w:rPr>
          <w:rFonts w:ascii="Cambria Math" w:hAnsi="Cambria Math" w:cs="Cambria Math"/>
        </w:rPr>
        <w:t>‑</w:t>
      </w:r>
      <w:r w:rsidRPr="00983181">
        <w:rPr>
          <w:rFonts w:ascii="Gotham Book" w:hAnsi="Gotham Book"/>
        </w:rPr>
        <w:t>and</w:t>
      </w:r>
      <w:r w:rsidRPr="00983181">
        <w:rPr>
          <w:rFonts w:ascii="Cambria Math" w:hAnsi="Cambria Math" w:cs="Cambria Math"/>
        </w:rPr>
        <w:t>‑</w:t>
      </w:r>
      <w:r w:rsidRPr="00983181">
        <w:rPr>
          <w:rFonts w:ascii="Gotham Book" w:hAnsi="Gotham Book"/>
        </w:rPr>
        <w:t>treat program for reducing the risk of preterm birth, South Australia, 2021</w:t>
      </w:r>
      <w:r w:rsidRPr="00983181">
        <w:rPr>
          <w:rFonts w:ascii="Gotham Book" w:hAnsi="Gotham Book" w:cs="Arial"/>
        </w:rPr>
        <w:t>–</w:t>
      </w:r>
      <w:r w:rsidRPr="00983181">
        <w:rPr>
          <w:rFonts w:ascii="Gotham Book" w:hAnsi="Gotham Book"/>
        </w:rPr>
        <w:t>22: an implementation evaluation study. Med J Aust. 223: 626</w:t>
      </w:r>
      <w:r w:rsidRPr="00983181">
        <w:rPr>
          <w:rFonts w:ascii="Gotham Book" w:hAnsi="Gotham Book" w:cs="Arial"/>
        </w:rPr>
        <w:t>–</w:t>
      </w:r>
      <w:r w:rsidRPr="00983181">
        <w:rPr>
          <w:rFonts w:ascii="Gotham Book" w:hAnsi="Gotham Book"/>
        </w:rPr>
        <w:t xml:space="preserve">633. </w:t>
      </w:r>
      <w:hyperlink r:id="rId5" w:history="1">
        <w:r w:rsidRPr="00983181">
          <w:rPr>
            <w:rStyle w:val="Hyperlink"/>
            <w:rFonts w:ascii="Gotham Book" w:hAnsi="Gotham Book"/>
          </w:rPr>
          <w:t>https://doi.org/10.5694/mja2.70101</w:t>
        </w:r>
      </w:hyperlink>
    </w:p>
    <w:p w14:paraId="10F5D669" w14:textId="77777777" w:rsidR="00270110" w:rsidRPr="00983181" w:rsidRDefault="00270110" w:rsidP="003F0118">
      <w:pPr>
        <w:pStyle w:val="EndnoteText"/>
        <w:rPr>
          <w:rFonts w:ascii="Gotham Book" w:hAnsi="Gotham Book"/>
          <w:lang w:val="en-US"/>
        </w:rPr>
      </w:pPr>
    </w:p>
  </w:endnote>
  <w:endnote w:id="6">
    <w:p w14:paraId="33CBC9AD" w14:textId="03B1D190" w:rsidR="00270110" w:rsidRPr="00270110" w:rsidRDefault="00270110" w:rsidP="003F0118">
      <w:pPr>
        <w:pStyle w:val="EndnoteText"/>
        <w:rPr>
          <w:lang w:val="en-US"/>
        </w:rPr>
      </w:pPr>
      <w:r w:rsidRPr="00983181">
        <w:rPr>
          <w:rStyle w:val="EndnoteReference"/>
          <w:rFonts w:ascii="Gotham Book" w:hAnsi="Gotham Book"/>
        </w:rPr>
        <w:endnoteRef/>
      </w:r>
      <w:r w:rsidRPr="00983181">
        <w:rPr>
          <w:rFonts w:ascii="Gotham Book" w:hAnsi="Gotham Book"/>
        </w:rPr>
        <w:t xml:space="preserve"> </w:t>
      </w:r>
      <w:r w:rsidR="00A153EF" w:rsidRPr="00983181">
        <w:rPr>
          <w:rFonts w:ascii="Gotham Book" w:hAnsi="Gotham Book"/>
        </w:rPr>
        <w:t>Haji Ali Afzali H et</w:t>
      </w:r>
      <w:r w:rsidR="00A153EF" w:rsidRPr="00983181">
        <w:rPr>
          <w:rFonts w:ascii="Cambria Math" w:hAnsi="Cambria Math" w:cs="Cambria Math"/>
        </w:rPr>
        <w:t> </w:t>
      </w:r>
      <w:r w:rsidR="00A153EF" w:rsidRPr="00983181">
        <w:rPr>
          <w:rFonts w:ascii="Gotham Book" w:hAnsi="Gotham Book"/>
        </w:rPr>
        <w:t>al. (2026). Model</w:t>
      </w:r>
      <w:r w:rsidR="00A153EF" w:rsidRPr="00983181">
        <w:rPr>
          <w:rFonts w:ascii="Cambria Math" w:hAnsi="Cambria Math" w:cs="Cambria Math"/>
        </w:rPr>
        <w:t>‑</w:t>
      </w:r>
      <w:r w:rsidR="00A153EF" w:rsidRPr="00983181">
        <w:rPr>
          <w:rFonts w:ascii="Gotham Book" w:hAnsi="Gotham Book"/>
        </w:rPr>
        <w:t>based cost</w:t>
      </w:r>
      <w:r w:rsidR="00A153EF" w:rsidRPr="00983181">
        <w:rPr>
          <w:rFonts w:ascii="Cambria Math" w:hAnsi="Cambria Math" w:cs="Cambria Math"/>
        </w:rPr>
        <w:t>‑</w:t>
      </w:r>
      <w:r w:rsidR="00A153EF" w:rsidRPr="00983181">
        <w:rPr>
          <w:rFonts w:ascii="Gotham Book" w:hAnsi="Gotham Book"/>
        </w:rPr>
        <w:t>effectiveness analysis of routine omega</w:t>
      </w:r>
      <w:r w:rsidR="00A153EF" w:rsidRPr="00983181">
        <w:rPr>
          <w:rFonts w:ascii="Cambria Math" w:hAnsi="Cambria Math" w:cs="Cambria Math"/>
        </w:rPr>
        <w:t>‑</w:t>
      </w:r>
      <w:r w:rsidR="00A153EF" w:rsidRPr="00983181">
        <w:rPr>
          <w:rFonts w:ascii="Gotham Book" w:hAnsi="Gotham Book"/>
        </w:rPr>
        <w:t xml:space="preserve">3 testing and targeted supplementation to reduce early preterm birth in Australia compared with current practice. </w:t>
      </w:r>
      <w:proofErr w:type="spellStart"/>
      <w:r w:rsidR="00A153EF" w:rsidRPr="00983181">
        <w:rPr>
          <w:rFonts w:ascii="Gotham Book" w:hAnsi="Gotham Book"/>
        </w:rPr>
        <w:t>Clinicoecon</w:t>
      </w:r>
      <w:proofErr w:type="spellEnd"/>
      <w:r w:rsidR="00A153EF" w:rsidRPr="00983181">
        <w:rPr>
          <w:rFonts w:ascii="Gotham Book" w:hAnsi="Gotham Book"/>
        </w:rPr>
        <w:t xml:space="preserve"> Outcomes Res. 18: 585692. </w:t>
      </w:r>
      <w:hyperlink r:id="rId6" w:history="1">
        <w:r w:rsidR="00A153EF" w:rsidRPr="00983181">
          <w:rPr>
            <w:rStyle w:val="Hyperlink"/>
            <w:rFonts w:ascii="Gotham Book" w:hAnsi="Gotham Book"/>
          </w:rPr>
          <w:t>https://doi.org/10.2147/CEOR.S585692</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Gotham Book">
    <w:altName w:val="Calibri"/>
    <w:panose1 w:val="00000000000000000000"/>
    <w:charset w:val="00"/>
    <w:family w:val="modern"/>
    <w:notTrueType/>
    <w:pitch w:val="variable"/>
    <w:sig w:usb0="A00002FF" w:usb1="4000005B" w:usb2="00000000" w:usb3="00000000" w:csb0="0000009F" w:csb1="00000000"/>
  </w:font>
  <w:font w:name="Gotham Medium">
    <w:altName w:val="Calibri"/>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736"/>
      <w:gridCol w:w="7422"/>
      <w:gridCol w:w="1366"/>
    </w:tblGrid>
    <w:tr w:rsidR="002308EE" w:rsidRPr="00FF1AAF" w14:paraId="2753E66F" w14:textId="77777777" w:rsidTr="00983181">
      <w:tc>
        <w:tcPr>
          <w:tcW w:w="1736" w:type="dxa"/>
          <w:tcBorders>
            <w:top w:val="nil"/>
            <w:bottom w:val="single" w:sz="8" w:space="0" w:color="4BACC6"/>
          </w:tcBorders>
        </w:tcPr>
        <w:p w14:paraId="2544F718"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Borders>
            <w:top w:val="nil"/>
            <w:bottom w:val="single" w:sz="8" w:space="0" w:color="4BACC6"/>
          </w:tcBorders>
        </w:tcPr>
        <w:p w14:paraId="61C80A6A"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52447546"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7FAAA2C4" w14:textId="77777777" w:rsidTr="00983181">
      <w:tc>
        <w:tcPr>
          <w:tcW w:w="1736" w:type="dxa"/>
          <w:tcBorders>
            <w:top w:val="single" w:sz="8" w:space="0" w:color="4BACC6"/>
          </w:tcBorders>
        </w:tcPr>
        <w:p w14:paraId="58BBE84B"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Borders>
            <w:top w:val="single" w:sz="8" w:space="0" w:color="4BACC6"/>
          </w:tcBorders>
        </w:tcPr>
        <w:p w14:paraId="3BCB7963" w14:textId="2296747C"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07FC934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27061649" wp14:editId="2F91C61D">
                <wp:extent cx="617855" cy="380365"/>
                <wp:effectExtent l="0" t="0" r="0" b="635"/>
                <wp:docPr id="550115858" name="Picture 550115858"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0333E33"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Ind w:w="-176" w:type="dxa"/>
      <w:tblBorders>
        <w:top w:val="single" w:sz="8" w:space="0" w:color="4BACC6"/>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5037B9E0" w14:textId="77777777" w:rsidTr="00983181">
      <w:tc>
        <w:tcPr>
          <w:tcW w:w="1452" w:type="dxa"/>
          <w:tcBorders>
            <w:top w:val="nil"/>
            <w:bottom w:val="single" w:sz="8" w:space="0" w:color="4BACC6"/>
          </w:tcBorders>
        </w:tcPr>
        <w:p w14:paraId="41A80942"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706" w:type="dxa"/>
          <w:tcBorders>
            <w:top w:val="nil"/>
            <w:bottom w:val="single" w:sz="8" w:space="0" w:color="4BACC6"/>
          </w:tcBorders>
        </w:tcPr>
        <w:p w14:paraId="6677FEC4"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Borders>
            <w:top w:val="nil"/>
            <w:bottom w:val="single" w:sz="8" w:space="0" w:color="4BACC6"/>
          </w:tcBorders>
        </w:tcPr>
        <w:p w14:paraId="2475A495"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3C099651" w14:textId="77777777" w:rsidTr="00983181">
      <w:tc>
        <w:tcPr>
          <w:tcW w:w="1452" w:type="dxa"/>
          <w:tcBorders>
            <w:top w:val="single" w:sz="8" w:space="0" w:color="4BACC6"/>
          </w:tcBorders>
        </w:tcPr>
        <w:p w14:paraId="04E2A6BD"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cs="Arial"/>
              <w:sz w:val="18"/>
            </w:rPr>
            <w:t>1</w:t>
          </w:r>
          <w:r w:rsidRPr="00FF1AAF">
            <w:rPr>
              <w:rFonts w:ascii="Gotham Book" w:hAnsi="Gotham Book" w:cs="Arial"/>
              <w:sz w:val="18"/>
            </w:rPr>
            <w:fldChar w:fldCharType="end"/>
          </w:r>
        </w:p>
      </w:tc>
      <w:tc>
        <w:tcPr>
          <w:tcW w:w="7706" w:type="dxa"/>
          <w:tcBorders>
            <w:top w:val="single" w:sz="8" w:space="0" w:color="4BACC6"/>
          </w:tcBorders>
        </w:tcPr>
        <w:p w14:paraId="06234468" w14:textId="3390DE63" w:rsidR="002308EE" w:rsidRPr="00FF1AAF" w:rsidRDefault="002308EE" w:rsidP="002308EE">
          <w:pPr>
            <w:pStyle w:val="SecurityDLM"/>
            <w:spacing w:after="0" w:line="240" w:lineRule="auto"/>
            <w:ind w:left="0"/>
            <w:jc w:val="right"/>
            <w:rPr>
              <w:rFonts w:cs="Arial"/>
              <w:sz w:val="18"/>
            </w:rPr>
          </w:pPr>
        </w:p>
      </w:tc>
      <w:tc>
        <w:tcPr>
          <w:tcW w:w="1366" w:type="dxa"/>
          <w:tcBorders>
            <w:top w:val="single" w:sz="8" w:space="0" w:color="4BACC6"/>
          </w:tcBorders>
        </w:tcPr>
        <w:p w14:paraId="1203EF8C"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093C0DE4" wp14:editId="5FEDA1A4">
                <wp:extent cx="617855" cy="380365"/>
                <wp:effectExtent l="0" t="0" r="0" b="635"/>
                <wp:docPr id="1747531855" name="Picture 1747531855"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56D86DB4"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A71A" w14:textId="77777777" w:rsidR="00C111C4" w:rsidRDefault="00C111C4" w:rsidP="007A386A">
      <w:pPr>
        <w:spacing w:after="0" w:line="240" w:lineRule="auto"/>
      </w:pPr>
      <w:r>
        <w:separator/>
      </w:r>
    </w:p>
  </w:footnote>
  <w:footnote w:type="continuationSeparator" w:id="0">
    <w:p w14:paraId="540E8354" w14:textId="77777777" w:rsidR="00C111C4" w:rsidRDefault="00C111C4" w:rsidP="007A386A">
      <w:pPr>
        <w:spacing w:after="0" w:line="240" w:lineRule="auto"/>
      </w:pPr>
      <w:r>
        <w:continuationSeparator/>
      </w:r>
    </w:p>
  </w:footnote>
  <w:footnote w:id="1">
    <w:p w14:paraId="2895DF9B" w14:textId="72A4DA5F" w:rsidR="00FA332F" w:rsidRPr="00983181" w:rsidRDefault="00FA332F">
      <w:pPr>
        <w:pStyle w:val="FootnoteText"/>
        <w:rPr>
          <w:color w:val="414044" w:themeColor="accent5" w:themeShade="80"/>
          <w:lang w:val="en-US"/>
        </w:rPr>
      </w:pPr>
      <w:r w:rsidRPr="00983181">
        <w:rPr>
          <w:rStyle w:val="FootnoteReference"/>
          <w:color w:val="414044" w:themeColor="accent5" w:themeShade="80"/>
        </w:rPr>
        <w:footnoteRef/>
      </w:r>
      <w:r w:rsidRPr="00983181">
        <w:rPr>
          <w:color w:val="414044" w:themeColor="accent5" w:themeShade="80"/>
        </w:rPr>
        <w:t xml:space="preserve"> As </w:t>
      </w:r>
      <w:r w:rsidR="00FA418A" w:rsidRPr="00983181">
        <w:rPr>
          <w:color w:val="414044" w:themeColor="accent5" w:themeShade="80"/>
        </w:rPr>
        <w:t>of</w:t>
      </w:r>
      <w:r w:rsidR="00B33C2E" w:rsidRPr="00983181">
        <w:rPr>
          <w:color w:val="414044" w:themeColor="accent5" w:themeShade="80"/>
        </w:rPr>
        <w:t xml:space="preserve"> </w:t>
      </w:r>
      <w:r w:rsidRPr="00983181">
        <w:rPr>
          <w:color w:val="414044" w:themeColor="accent5" w:themeShade="80"/>
        </w:rPr>
        <w:t>June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16F7594C" w14:textId="77777777" w:rsidTr="002308EE">
      <w:tc>
        <w:tcPr>
          <w:tcW w:w="2977" w:type="dxa"/>
        </w:tcPr>
        <w:p w14:paraId="0CE9491F" w14:textId="77777777" w:rsidR="002308EE" w:rsidRDefault="002308EE" w:rsidP="002308EE">
          <w:pPr>
            <w:pStyle w:val="Header"/>
          </w:pPr>
        </w:p>
      </w:tc>
      <w:tc>
        <w:tcPr>
          <w:tcW w:w="5954" w:type="dxa"/>
        </w:tcPr>
        <w:p w14:paraId="6CA6E1EE" w14:textId="57B05414" w:rsidR="002308EE" w:rsidRDefault="002308EE" w:rsidP="002308EE">
          <w:pPr>
            <w:pStyle w:val="SecurityDLM"/>
            <w:ind w:left="0"/>
            <w:jc w:val="right"/>
          </w:pPr>
        </w:p>
      </w:tc>
      <w:tc>
        <w:tcPr>
          <w:tcW w:w="1417" w:type="dxa"/>
        </w:tcPr>
        <w:p w14:paraId="59366617" w14:textId="77777777" w:rsidR="002308EE" w:rsidRDefault="002308EE" w:rsidP="002308EE">
          <w:pPr>
            <w:pStyle w:val="Header"/>
            <w:jc w:val="right"/>
          </w:pPr>
          <w:r>
            <w:rPr>
              <w:noProof/>
            </w:rPr>
            <w:drawing>
              <wp:inline distT="0" distB="0" distL="0" distR="0" wp14:anchorId="6FA8554E" wp14:editId="27DD7285">
                <wp:extent cx="755640" cy="755640"/>
                <wp:effectExtent l="0" t="0" r="6985" b="6985"/>
                <wp:docPr id="805787780" name="Picture 805787780"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A298364" w14:textId="77777777" w:rsidR="0022668B" w:rsidRDefault="0022668B" w:rsidP="0022668B">
    <w:pPr>
      <w:pStyle w:val="Header"/>
    </w:pPr>
  </w:p>
  <w:p w14:paraId="15A25172" w14:textId="77777777" w:rsidR="002308EE" w:rsidRDefault="002308EE" w:rsidP="0022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47D20BAB" w14:textId="77777777" w:rsidTr="002308EE">
      <w:tc>
        <w:tcPr>
          <w:tcW w:w="5386" w:type="dxa"/>
        </w:tcPr>
        <w:p w14:paraId="0DA3C068" w14:textId="77777777" w:rsidR="003B3DE8" w:rsidRDefault="003B3DE8" w:rsidP="0022668B">
          <w:pPr>
            <w:pStyle w:val="Header"/>
          </w:pPr>
          <w:r>
            <w:rPr>
              <w:noProof/>
            </w:rPr>
            <w:drawing>
              <wp:inline distT="0" distB="0" distL="0" distR="0" wp14:anchorId="79142C5A" wp14:editId="15F67335">
                <wp:extent cx="3282950" cy="756920"/>
                <wp:effectExtent l="0" t="0" r="0" b="5080"/>
                <wp:docPr id="377532570" name="Picture 377532570"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5E19117F" w14:textId="21682645" w:rsidR="003B3DE8" w:rsidRDefault="003B3DE8" w:rsidP="002308EE">
          <w:pPr>
            <w:pStyle w:val="SecurityDLM"/>
            <w:ind w:left="0"/>
            <w:jc w:val="right"/>
          </w:pPr>
        </w:p>
      </w:tc>
      <w:tc>
        <w:tcPr>
          <w:tcW w:w="1415" w:type="dxa"/>
        </w:tcPr>
        <w:p w14:paraId="02C12C6D" w14:textId="77777777" w:rsidR="003B3DE8" w:rsidRDefault="002308EE" w:rsidP="002308EE">
          <w:pPr>
            <w:pStyle w:val="Header"/>
            <w:jc w:val="right"/>
          </w:pPr>
          <w:r>
            <w:rPr>
              <w:noProof/>
            </w:rPr>
            <w:drawing>
              <wp:inline distT="0" distB="0" distL="0" distR="0" wp14:anchorId="1E6F2BA2" wp14:editId="29E99A14">
                <wp:extent cx="755640" cy="755640"/>
                <wp:effectExtent l="0" t="0" r="6985" b="6985"/>
                <wp:docPr id="1374354735" name="Picture 137435473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57DB0D2C" w14:textId="77777777" w:rsidR="00133DD8" w:rsidRDefault="00133DD8" w:rsidP="002308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65E6660"/>
    <w:multiLevelType w:val="hybridMultilevel"/>
    <w:tmpl w:val="1312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9B365D"/>
    <w:multiLevelType w:val="hybridMultilevel"/>
    <w:tmpl w:val="8304B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D7471"/>
    <w:multiLevelType w:val="hybridMultilevel"/>
    <w:tmpl w:val="D820E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1E6001"/>
    <w:multiLevelType w:val="hybridMultilevel"/>
    <w:tmpl w:val="80909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6A2FAB"/>
    <w:multiLevelType w:val="hybridMultilevel"/>
    <w:tmpl w:val="03A8B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11" w15:restartNumberingAfterBreak="0">
    <w:nsid w:val="31DF6631"/>
    <w:multiLevelType w:val="hybridMultilevel"/>
    <w:tmpl w:val="85847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13" w15:restartNumberingAfterBreak="0">
    <w:nsid w:val="39CD1A18"/>
    <w:multiLevelType w:val="hybridMultilevel"/>
    <w:tmpl w:val="FF88B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67410AF"/>
    <w:multiLevelType w:val="hybridMultilevel"/>
    <w:tmpl w:val="66B4788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DC6C8E"/>
    <w:multiLevelType w:val="multilevel"/>
    <w:tmpl w:val="131EEC6C"/>
    <w:numStyleLink w:val="TableNumbers"/>
  </w:abstractNum>
  <w:abstractNum w:abstractNumId="18" w15:restartNumberingAfterBreak="0">
    <w:nsid w:val="52E8589E"/>
    <w:multiLevelType w:val="hybridMultilevel"/>
    <w:tmpl w:val="AA948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E676E09"/>
    <w:multiLevelType w:val="multilevel"/>
    <w:tmpl w:val="0C09001F"/>
    <w:numStyleLink w:val="NumberedHeadings"/>
  </w:abstractNum>
  <w:abstractNum w:abstractNumId="23" w15:restartNumberingAfterBreak="0">
    <w:nsid w:val="62256AAA"/>
    <w:multiLevelType w:val="hybridMultilevel"/>
    <w:tmpl w:val="AEAC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D71D6B"/>
    <w:multiLevelType w:val="hybridMultilevel"/>
    <w:tmpl w:val="76448E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EE44065"/>
    <w:multiLevelType w:val="multilevel"/>
    <w:tmpl w:val="A41689A2"/>
    <w:numStyleLink w:val="AppendixNumbers"/>
  </w:abstractNum>
  <w:abstractNum w:abstractNumId="27"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27"/>
  </w:num>
  <w:num w:numId="2" w16cid:durableId="709764690">
    <w:abstractNumId w:val="19"/>
  </w:num>
  <w:num w:numId="3" w16cid:durableId="142164143">
    <w:abstractNumId w:val="19"/>
  </w:num>
  <w:num w:numId="4" w16cid:durableId="1158381352">
    <w:abstractNumId w:val="15"/>
  </w:num>
  <w:num w:numId="5" w16cid:durableId="2105416843">
    <w:abstractNumId w:val="15"/>
  </w:num>
  <w:num w:numId="6" w16cid:durableId="491412865">
    <w:abstractNumId w:val="25"/>
  </w:num>
  <w:num w:numId="7" w16cid:durableId="1070150997">
    <w:abstractNumId w:val="25"/>
  </w:num>
  <w:num w:numId="8" w16cid:durableId="2095473806">
    <w:abstractNumId w:val="6"/>
  </w:num>
  <w:num w:numId="9" w16cid:durableId="960039475">
    <w:abstractNumId w:val="0"/>
  </w:num>
  <w:num w:numId="10" w16cid:durableId="1213810782">
    <w:abstractNumId w:val="20"/>
  </w:num>
  <w:num w:numId="11" w16cid:durableId="999507997">
    <w:abstractNumId w:val="4"/>
  </w:num>
  <w:num w:numId="12" w16cid:durableId="991106785">
    <w:abstractNumId w:val="5"/>
  </w:num>
  <w:num w:numId="13" w16cid:durableId="1844390436">
    <w:abstractNumId w:val="21"/>
  </w:num>
  <w:num w:numId="14" w16cid:durableId="1228960154">
    <w:abstractNumId w:val="21"/>
  </w:num>
  <w:num w:numId="15" w16cid:durableId="1083524882">
    <w:abstractNumId w:val="10"/>
  </w:num>
  <w:num w:numId="16" w16cid:durableId="709378581">
    <w:abstractNumId w:val="7"/>
  </w:num>
  <w:num w:numId="17" w16cid:durableId="1198665999">
    <w:abstractNumId w:val="17"/>
  </w:num>
  <w:num w:numId="18" w16cid:durableId="1040395793">
    <w:abstractNumId w:val="12"/>
  </w:num>
  <w:num w:numId="19" w16cid:durableId="583104145">
    <w:abstractNumId w:val="26"/>
  </w:num>
  <w:num w:numId="20" w16cid:durableId="1291282911">
    <w:abstractNumId w:val="22"/>
  </w:num>
  <w:num w:numId="21" w16cid:durableId="1443452407">
    <w:abstractNumId w:val="14"/>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076515">
    <w:abstractNumId w:val="18"/>
  </w:num>
  <w:num w:numId="25" w16cid:durableId="753741510">
    <w:abstractNumId w:val="9"/>
  </w:num>
  <w:num w:numId="26" w16cid:durableId="1965847286">
    <w:abstractNumId w:val="1"/>
  </w:num>
  <w:num w:numId="27" w16cid:durableId="1877623733">
    <w:abstractNumId w:val="16"/>
  </w:num>
  <w:num w:numId="28" w16cid:durableId="349530849">
    <w:abstractNumId w:val="3"/>
  </w:num>
  <w:num w:numId="29" w16cid:durableId="336661231">
    <w:abstractNumId w:val="8"/>
  </w:num>
  <w:num w:numId="30" w16cid:durableId="1006395456">
    <w:abstractNumId w:val="13"/>
  </w:num>
  <w:num w:numId="31" w16cid:durableId="665477492">
    <w:abstractNumId w:val="24"/>
  </w:num>
  <w:num w:numId="32" w16cid:durableId="1994796135">
    <w:abstractNumId w:val="11"/>
  </w:num>
  <w:num w:numId="33" w16cid:durableId="1237328330">
    <w:abstractNumId w:val="2"/>
  </w:num>
  <w:num w:numId="34" w16cid:durableId="76403986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DE"/>
    <w:rsid w:val="00014BAE"/>
    <w:rsid w:val="00015B68"/>
    <w:rsid w:val="000166DE"/>
    <w:rsid w:val="000317D8"/>
    <w:rsid w:val="00042CC7"/>
    <w:rsid w:val="00043B67"/>
    <w:rsid w:val="0004635D"/>
    <w:rsid w:val="0004683C"/>
    <w:rsid w:val="00051B13"/>
    <w:rsid w:val="0005264E"/>
    <w:rsid w:val="00054C25"/>
    <w:rsid w:val="00060822"/>
    <w:rsid w:val="00061B60"/>
    <w:rsid w:val="00066BA6"/>
    <w:rsid w:val="0008622C"/>
    <w:rsid w:val="000875B5"/>
    <w:rsid w:val="00096209"/>
    <w:rsid w:val="000A4685"/>
    <w:rsid w:val="000A5D8A"/>
    <w:rsid w:val="000A7809"/>
    <w:rsid w:val="000B1EDE"/>
    <w:rsid w:val="000B2185"/>
    <w:rsid w:val="000B2294"/>
    <w:rsid w:val="000B7651"/>
    <w:rsid w:val="000D1B86"/>
    <w:rsid w:val="000D4CF5"/>
    <w:rsid w:val="000D586A"/>
    <w:rsid w:val="000D78D9"/>
    <w:rsid w:val="000F581E"/>
    <w:rsid w:val="00100636"/>
    <w:rsid w:val="001060E2"/>
    <w:rsid w:val="0010770F"/>
    <w:rsid w:val="00107B3D"/>
    <w:rsid w:val="0011493B"/>
    <w:rsid w:val="00121012"/>
    <w:rsid w:val="00122126"/>
    <w:rsid w:val="00123F1C"/>
    <w:rsid w:val="00124439"/>
    <w:rsid w:val="00125E54"/>
    <w:rsid w:val="00126F21"/>
    <w:rsid w:val="00133DD8"/>
    <w:rsid w:val="0014133A"/>
    <w:rsid w:val="001508C3"/>
    <w:rsid w:val="001554AD"/>
    <w:rsid w:val="001600D8"/>
    <w:rsid w:val="00162191"/>
    <w:rsid w:val="0016400B"/>
    <w:rsid w:val="00165C1E"/>
    <w:rsid w:val="00166A05"/>
    <w:rsid w:val="0017755B"/>
    <w:rsid w:val="00182F39"/>
    <w:rsid w:val="00184737"/>
    <w:rsid w:val="001A3D7C"/>
    <w:rsid w:val="001A51D8"/>
    <w:rsid w:val="001A5B41"/>
    <w:rsid w:val="001A5F9A"/>
    <w:rsid w:val="001B017B"/>
    <w:rsid w:val="001B04D1"/>
    <w:rsid w:val="001B1D05"/>
    <w:rsid w:val="001B42D0"/>
    <w:rsid w:val="001B5BD5"/>
    <w:rsid w:val="001C3170"/>
    <w:rsid w:val="001C55E6"/>
    <w:rsid w:val="001D4314"/>
    <w:rsid w:val="001D44B0"/>
    <w:rsid w:val="001D55C0"/>
    <w:rsid w:val="001D675F"/>
    <w:rsid w:val="001E04F2"/>
    <w:rsid w:val="001E1DB8"/>
    <w:rsid w:val="001E259D"/>
    <w:rsid w:val="001E516B"/>
    <w:rsid w:val="001F0F10"/>
    <w:rsid w:val="001F2766"/>
    <w:rsid w:val="00201B68"/>
    <w:rsid w:val="00204292"/>
    <w:rsid w:val="0020432F"/>
    <w:rsid w:val="00205F2A"/>
    <w:rsid w:val="002112A6"/>
    <w:rsid w:val="0021777D"/>
    <w:rsid w:val="00222CCD"/>
    <w:rsid w:val="0022668B"/>
    <w:rsid w:val="00226F39"/>
    <w:rsid w:val="002308EE"/>
    <w:rsid w:val="0023133C"/>
    <w:rsid w:val="00231EDB"/>
    <w:rsid w:val="00232F9E"/>
    <w:rsid w:val="00235319"/>
    <w:rsid w:val="00237652"/>
    <w:rsid w:val="00241537"/>
    <w:rsid w:val="0024221E"/>
    <w:rsid w:val="00246402"/>
    <w:rsid w:val="002477B3"/>
    <w:rsid w:val="00253BF9"/>
    <w:rsid w:val="00257C2B"/>
    <w:rsid w:val="00262498"/>
    <w:rsid w:val="0026263A"/>
    <w:rsid w:val="00262914"/>
    <w:rsid w:val="002634F4"/>
    <w:rsid w:val="00264FEE"/>
    <w:rsid w:val="00266B5F"/>
    <w:rsid w:val="00270110"/>
    <w:rsid w:val="0027290B"/>
    <w:rsid w:val="00274343"/>
    <w:rsid w:val="002838EF"/>
    <w:rsid w:val="00283BC6"/>
    <w:rsid w:val="002852AD"/>
    <w:rsid w:val="00286E4D"/>
    <w:rsid w:val="00292E2C"/>
    <w:rsid w:val="002950A5"/>
    <w:rsid w:val="002A6795"/>
    <w:rsid w:val="002B49FD"/>
    <w:rsid w:val="002B4C60"/>
    <w:rsid w:val="002B4F19"/>
    <w:rsid w:val="002C2175"/>
    <w:rsid w:val="002C4663"/>
    <w:rsid w:val="002C6982"/>
    <w:rsid w:val="002C79AF"/>
    <w:rsid w:val="002D320F"/>
    <w:rsid w:val="002D7D5C"/>
    <w:rsid w:val="002E1269"/>
    <w:rsid w:val="002E2186"/>
    <w:rsid w:val="002E734F"/>
    <w:rsid w:val="003017A7"/>
    <w:rsid w:val="003025E7"/>
    <w:rsid w:val="00311B94"/>
    <w:rsid w:val="003120CE"/>
    <w:rsid w:val="00313D03"/>
    <w:rsid w:val="00314920"/>
    <w:rsid w:val="00323BE7"/>
    <w:rsid w:val="00323D95"/>
    <w:rsid w:val="003369FE"/>
    <w:rsid w:val="00337267"/>
    <w:rsid w:val="0034095D"/>
    <w:rsid w:val="003412BD"/>
    <w:rsid w:val="003422F3"/>
    <w:rsid w:val="0034426F"/>
    <w:rsid w:val="003449A0"/>
    <w:rsid w:val="00345952"/>
    <w:rsid w:val="00350993"/>
    <w:rsid w:val="00350E12"/>
    <w:rsid w:val="003524D0"/>
    <w:rsid w:val="0035699C"/>
    <w:rsid w:val="00356B5F"/>
    <w:rsid w:val="00362BA7"/>
    <w:rsid w:val="0036615A"/>
    <w:rsid w:val="00366B28"/>
    <w:rsid w:val="003707A6"/>
    <w:rsid w:val="00371054"/>
    <w:rsid w:val="00371F4C"/>
    <w:rsid w:val="003809D6"/>
    <w:rsid w:val="003825BE"/>
    <w:rsid w:val="00384E90"/>
    <w:rsid w:val="00385721"/>
    <w:rsid w:val="00393599"/>
    <w:rsid w:val="00394000"/>
    <w:rsid w:val="0039643D"/>
    <w:rsid w:val="00397E79"/>
    <w:rsid w:val="003A2915"/>
    <w:rsid w:val="003A7A4E"/>
    <w:rsid w:val="003A7CB0"/>
    <w:rsid w:val="003A7D10"/>
    <w:rsid w:val="003B2CC6"/>
    <w:rsid w:val="003B3DE8"/>
    <w:rsid w:val="003B67BA"/>
    <w:rsid w:val="003C3635"/>
    <w:rsid w:val="003C5A56"/>
    <w:rsid w:val="003C74F2"/>
    <w:rsid w:val="003D12CA"/>
    <w:rsid w:val="003D1E0E"/>
    <w:rsid w:val="003D48D8"/>
    <w:rsid w:val="003E4045"/>
    <w:rsid w:val="003E5164"/>
    <w:rsid w:val="003E5549"/>
    <w:rsid w:val="003F0118"/>
    <w:rsid w:val="003F18CF"/>
    <w:rsid w:val="003F759C"/>
    <w:rsid w:val="004000B7"/>
    <w:rsid w:val="004039F1"/>
    <w:rsid w:val="004043A6"/>
    <w:rsid w:val="00405653"/>
    <w:rsid w:val="00417D7A"/>
    <w:rsid w:val="00422C75"/>
    <w:rsid w:val="00426F95"/>
    <w:rsid w:val="0042706D"/>
    <w:rsid w:val="00437279"/>
    <w:rsid w:val="0044302C"/>
    <w:rsid w:val="004439BA"/>
    <w:rsid w:val="00450FBF"/>
    <w:rsid w:val="00455582"/>
    <w:rsid w:val="00456247"/>
    <w:rsid w:val="00460535"/>
    <w:rsid w:val="004637A4"/>
    <w:rsid w:val="004704A0"/>
    <w:rsid w:val="00472455"/>
    <w:rsid w:val="0048651E"/>
    <w:rsid w:val="00496A03"/>
    <w:rsid w:val="00497B5D"/>
    <w:rsid w:val="004A4D69"/>
    <w:rsid w:val="004B174D"/>
    <w:rsid w:val="004B7805"/>
    <w:rsid w:val="004C52F7"/>
    <w:rsid w:val="004E0E42"/>
    <w:rsid w:val="004E1EFF"/>
    <w:rsid w:val="004E7DFB"/>
    <w:rsid w:val="004F0FE2"/>
    <w:rsid w:val="00510631"/>
    <w:rsid w:val="0051245C"/>
    <w:rsid w:val="00512E92"/>
    <w:rsid w:val="00513C0A"/>
    <w:rsid w:val="0052435A"/>
    <w:rsid w:val="00532C18"/>
    <w:rsid w:val="00535877"/>
    <w:rsid w:val="005409FB"/>
    <w:rsid w:val="00543CCA"/>
    <w:rsid w:val="00544D95"/>
    <w:rsid w:val="0054535C"/>
    <w:rsid w:val="00547DAE"/>
    <w:rsid w:val="00550A41"/>
    <w:rsid w:val="00550EFC"/>
    <w:rsid w:val="00554943"/>
    <w:rsid w:val="005554BA"/>
    <w:rsid w:val="005556E7"/>
    <w:rsid w:val="00567F17"/>
    <w:rsid w:val="00576109"/>
    <w:rsid w:val="00576701"/>
    <w:rsid w:val="00577DCE"/>
    <w:rsid w:val="005863F5"/>
    <w:rsid w:val="005A375E"/>
    <w:rsid w:val="005A6C26"/>
    <w:rsid w:val="005B218C"/>
    <w:rsid w:val="005B511B"/>
    <w:rsid w:val="005B6B27"/>
    <w:rsid w:val="005B720A"/>
    <w:rsid w:val="005B7B64"/>
    <w:rsid w:val="005C273A"/>
    <w:rsid w:val="005D2E97"/>
    <w:rsid w:val="005D3213"/>
    <w:rsid w:val="005D427D"/>
    <w:rsid w:val="005D507B"/>
    <w:rsid w:val="005E15B3"/>
    <w:rsid w:val="005E705E"/>
    <w:rsid w:val="005F4738"/>
    <w:rsid w:val="00603273"/>
    <w:rsid w:val="00605222"/>
    <w:rsid w:val="00617D03"/>
    <w:rsid w:val="00620572"/>
    <w:rsid w:val="00624CA1"/>
    <w:rsid w:val="00626672"/>
    <w:rsid w:val="006300B5"/>
    <w:rsid w:val="00630453"/>
    <w:rsid w:val="006325A5"/>
    <w:rsid w:val="00642082"/>
    <w:rsid w:val="00643E62"/>
    <w:rsid w:val="00665D5F"/>
    <w:rsid w:val="0066672E"/>
    <w:rsid w:val="00673332"/>
    <w:rsid w:val="00673BC2"/>
    <w:rsid w:val="00674CB1"/>
    <w:rsid w:val="00675C9D"/>
    <w:rsid w:val="00675E26"/>
    <w:rsid w:val="00677E7A"/>
    <w:rsid w:val="006821D1"/>
    <w:rsid w:val="006822D3"/>
    <w:rsid w:val="00686360"/>
    <w:rsid w:val="006903AF"/>
    <w:rsid w:val="00692251"/>
    <w:rsid w:val="0069399F"/>
    <w:rsid w:val="006A0D9C"/>
    <w:rsid w:val="006A11FD"/>
    <w:rsid w:val="006A23BE"/>
    <w:rsid w:val="006A54CA"/>
    <w:rsid w:val="006A7C5A"/>
    <w:rsid w:val="006C405D"/>
    <w:rsid w:val="006D2820"/>
    <w:rsid w:val="006D7CE6"/>
    <w:rsid w:val="006E489A"/>
    <w:rsid w:val="006E4A9D"/>
    <w:rsid w:val="006E7879"/>
    <w:rsid w:val="006F50DA"/>
    <w:rsid w:val="006F73E8"/>
    <w:rsid w:val="007043D8"/>
    <w:rsid w:val="00705A49"/>
    <w:rsid w:val="0070647B"/>
    <w:rsid w:val="00706606"/>
    <w:rsid w:val="00707AA7"/>
    <w:rsid w:val="00715FBD"/>
    <w:rsid w:val="00717872"/>
    <w:rsid w:val="00717AF0"/>
    <w:rsid w:val="007221BB"/>
    <w:rsid w:val="00731858"/>
    <w:rsid w:val="007327C7"/>
    <w:rsid w:val="007445FF"/>
    <w:rsid w:val="007473F6"/>
    <w:rsid w:val="007477A2"/>
    <w:rsid w:val="007508C5"/>
    <w:rsid w:val="00750DB7"/>
    <w:rsid w:val="00751821"/>
    <w:rsid w:val="00760DB7"/>
    <w:rsid w:val="007623B1"/>
    <w:rsid w:val="0076269B"/>
    <w:rsid w:val="007628D5"/>
    <w:rsid w:val="007649BC"/>
    <w:rsid w:val="00770E56"/>
    <w:rsid w:val="0078602C"/>
    <w:rsid w:val="007865E9"/>
    <w:rsid w:val="00792E9E"/>
    <w:rsid w:val="007A2378"/>
    <w:rsid w:val="007A386A"/>
    <w:rsid w:val="007A53A0"/>
    <w:rsid w:val="007A55A4"/>
    <w:rsid w:val="007B07CA"/>
    <w:rsid w:val="007C6694"/>
    <w:rsid w:val="007D004C"/>
    <w:rsid w:val="007D3706"/>
    <w:rsid w:val="007D6DFF"/>
    <w:rsid w:val="007E12E7"/>
    <w:rsid w:val="007E430C"/>
    <w:rsid w:val="007E48FA"/>
    <w:rsid w:val="007E4D3A"/>
    <w:rsid w:val="007E6439"/>
    <w:rsid w:val="007F5592"/>
    <w:rsid w:val="007F62E2"/>
    <w:rsid w:val="00803920"/>
    <w:rsid w:val="00804A74"/>
    <w:rsid w:val="008070E0"/>
    <w:rsid w:val="00810AE1"/>
    <w:rsid w:val="00812D89"/>
    <w:rsid w:val="0081613D"/>
    <w:rsid w:val="00816796"/>
    <w:rsid w:val="008167C6"/>
    <w:rsid w:val="00820307"/>
    <w:rsid w:val="00825811"/>
    <w:rsid w:val="008271AF"/>
    <w:rsid w:val="008300FA"/>
    <w:rsid w:val="00830CEF"/>
    <w:rsid w:val="00837040"/>
    <w:rsid w:val="0083783F"/>
    <w:rsid w:val="00840458"/>
    <w:rsid w:val="0084234B"/>
    <w:rsid w:val="00842BA1"/>
    <w:rsid w:val="0084525E"/>
    <w:rsid w:val="00855DBE"/>
    <w:rsid w:val="0085636F"/>
    <w:rsid w:val="00860794"/>
    <w:rsid w:val="00885DF0"/>
    <w:rsid w:val="008931ED"/>
    <w:rsid w:val="0089443D"/>
    <w:rsid w:val="00894D2B"/>
    <w:rsid w:val="00895989"/>
    <w:rsid w:val="00895A66"/>
    <w:rsid w:val="00897D53"/>
    <w:rsid w:val="008A0931"/>
    <w:rsid w:val="008A1F7F"/>
    <w:rsid w:val="008B041D"/>
    <w:rsid w:val="008B4BF7"/>
    <w:rsid w:val="008C2DC8"/>
    <w:rsid w:val="008D14EC"/>
    <w:rsid w:val="008D49BC"/>
    <w:rsid w:val="008D543F"/>
    <w:rsid w:val="008E46A7"/>
    <w:rsid w:val="008F5C36"/>
    <w:rsid w:val="008F6DA3"/>
    <w:rsid w:val="00902C87"/>
    <w:rsid w:val="009039A4"/>
    <w:rsid w:val="009046B2"/>
    <w:rsid w:val="00911B1C"/>
    <w:rsid w:val="009139AE"/>
    <w:rsid w:val="0092176E"/>
    <w:rsid w:val="00931F5C"/>
    <w:rsid w:val="009337BF"/>
    <w:rsid w:val="009372FF"/>
    <w:rsid w:val="009417F8"/>
    <w:rsid w:val="00950D92"/>
    <w:rsid w:val="0096267B"/>
    <w:rsid w:val="00963743"/>
    <w:rsid w:val="00965E5D"/>
    <w:rsid w:val="00966CF6"/>
    <w:rsid w:val="0097520C"/>
    <w:rsid w:val="00983181"/>
    <w:rsid w:val="0098510A"/>
    <w:rsid w:val="0098579B"/>
    <w:rsid w:val="00990A10"/>
    <w:rsid w:val="00990E3C"/>
    <w:rsid w:val="00995AB1"/>
    <w:rsid w:val="00997C5A"/>
    <w:rsid w:val="009A0F83"/>
    <w:rsid w:val="009A694A"/>
    <w:rsid w:val="009C0399"/>
    <w:rsid w:val="009C2371"/>
    <w:rsid w:val="009C6BD7"/>
    <w:rsid w:val="009E3649"/>
    <w:rsid w:val="009E44F0"/>
    <w:rsid w:val="009F059A"/>
    <w:rsid w:val="009F22D7"/>
    <w:rsid w:val="009F233E"/>
    <w:rsid w:val="009F4644"/>
    <w:rsid w:val="00A03C7B"/>
    <w:rsid w:val="00A10D32"/>
    <w:rsid w:val="00A11335"/>
    <w:rsid w:val="00A153EF"/>
    <w:rsid w:val="00A15A68"/>
    <w:rsid w:val="00A242DC"/>
    <w:rsid w:val="00A27905"/>
    <w:rsid w:val="00A40BD3"/>
    <w:rsid w:val="00A44127"/>
    <w:rsid w:val="00A512AD"/>
    <w:rsid w:val="00A53590"/>
    <w:rsid w:val="00A62143"/>
    <w:rsid w:val="00A63C6A"/>
    <w:rsid w:val="00A6518C"/>
    <w:rsid w:val="00A7117A"/>
    <w:rsid w:val="00A72781"/>
    <w:rsid w:val="00A73D0D"/>
    <w:rsid w:val="00A75AC7"/>
    <w:rsid w:val="00A83340"/>
    <w:rsid w:val="00A83AB5"/>
    <w:rsid w:val="00A8475F"/>
    <w:rsid w:val="00A84786"/>
    <w:rsid w:val="00A85248"/>
    <w:rsid w:val="00A8689E"/>
    <w:rsid w:val="00A976BA"/>
    <w:rsid w:val="00AA3198"/>
    <w:rsid w:val="00AA7573"/>
    <w:rsid w:val="00AB7E19"/>
    <w:rsid w:val="00AC1667"/>
    <w:rsid w:val="00AC54D6"/>
    <w:rsid w:val="00AD1C58"/>
    <w:rsid w:val="00AD5594"/>
    <w:rsid w:val="00AE5972"/>
    <w:rsid w:val="00AF12A0"/>
    <w:rsid w:val="00AF562B"/>
    <w:rsid w:val="00B00DE5"/>
    <w:rsid w:val="00B05DFF"/>
    <w:rsid w:val="00B06867"/>
    <w:rsid w:val="00B079A2"/>
    <w:rsid w:val="00B07D31"/>
    <w:rsid w:val="00B1127C"/>
    <w:rsid w:val="00B26041"/>
    <w:rsid w:val="00B26582"/>
    <w:rsid w:val="00B30C23"/>
    <w:rsid w:val="00B32184"/>
    <w:rsid w:val="00B33C2E"/>
    <w:rsid w:val="00B33EC3"/>
    <w:rsid w:val="00B368C6"/>
    <w:rsid w:val="00B40AC1"/>
    <w:rsid w:val="00B428A6"/>
    <w:rsid w:val="00B4353C"/>
    <w:rsid w:val="00B45FE1"/>
    <w:rsid w:val="00B501C0"/>
    <w:rsid w:val="00B52199"/>
    <w:rsid w:val="00B529DE"/>
    <w:rsid w:val="00B63153"/>
    <w:rsid w:val="00B64CC7"/>
    <w:rsid w:val="00B7158C"/>
    <w:rsid w:val="00B72B2F"/>
    <w:rsid w:val="00B7474C"/>
    <w:rsid w:val="00B82594"/>
    <w:rsid w:val="00B83416"/>
    <w:rsid w:val="00B84F84"/>
    <w:rsid w:val="00B8710E"/>
    <w:rsid w:val="00B872FB"/>
    <w:rsid w:val="00BA1F7E"/>
    <w:rsid w:val="00BB06B1"/>
    <w:rsid w:val="00BB6B73"/>
    <w:rsid w:val="00BB77AC"/>
    <w:rsid w:val="00BC5F85"/>
    <w:rsid w:val="00BC75EB"/>
    <w:rsid w:val="00BC7F76"/>
    <w:rsid w:val="00BD099D"/>
    <w:rsid w:val="00BD1CAA"/>
    <w:rsid w:val="00BD2D3E"/>
    <w:rsid w:val="00BD3DCA"/>
    <w:rsid w:val="00BD58B0"/>
    <w:rsid w:val="00BE13B6"/>
    <w:rsid w:val="00BE1E89"/>
    <w:rsid w:val="00BF4C58"/>
    <w:rsid w:val="00BF7429"/>
    <w:rsid w:val="00BF77E2"/>
    <w:rsid w:val="00C023FA"/>
    <w:rsid w:val="00C0677D"/>
    <w:rsid w:val="00C111C4"/>
    <w:rsid w:val="00C22D88"/>
    <w:rsid w:val="00C23E57"/>
    <w:rsid w:val="00C254A3"/>
    <w:rsid w:val="00C352F3"/>
    <w:rsid w:val="00C3651C"/>
    <w:rsid w:val="00C47711"/>
    <w:rsid w:val="00C5011A"/>
    <w:rsid w:val="00C545D5"/>
    <w:rsid w:val="00C55C37"/>
    <w:rsid w:val="00C616F9"/>
    <w:rsid w:val="00C67478"/>
    <w:rsid w:val="00C707A3"/>
    <w:rsid w:val="00C7080E"/>
    <w:rsid w:val="00C750ED"/>
    <w:rsid w:val="00C762B3"/>
    <w:rsid w:val="00C77865"/>
    <w:rsid w:val="00C81296"/>
    <w:rsid w:val="00C827E5"/>
    <w:rsid w:val="00C85112"/>
    <w:rsid w:val="00C85325"/>
    <w:rsid w:val="00C85F40"/>
    <w:rsid w:val="00C86846"/>
    <w:rsid w:val="00C86CE1"/>
    <w:rsid w:val="00C871CD"/>
    <w:rsid w:val="00C93189"/>
    <w:rsid w:val="00C94920"/>
    <w:rsid w:val="00C95F9B"/>
    <w:rsid w:val="00CA188A"/>
    <w:rsid w:val="00CA46A3"/>
    <w:rsid w:val="00CA7319"/>
    <w:rsid w:val="00CB0392"/>
    <w:rsid w:val="00CB70C4"/>
    <w:rsid w:val="00CC39DC"/>
    <w:rsid w:val="00CD5DEA"/>
    <w:rsid w:val="00CD6A5C"/>
    <w:rsid w:val="00CE4E93"/>
    <w:rsid w:val="00CF48EA"/>
    <w:rsid w:val="00D001B1"/>
    <w:rsid w:val="00D077CA"/>
    <w:rsid w:val="00D1677F"/>
    <w:rsid w:val="00D23F34"/>
    <w:rsid w:val="00D2613A"/>
    <w:rsid w:val="00D262CE"/>
    <w:rsid w:val="00D31E93"/>
    <w:rsid w:val="00D41C85"/>
    <w:rsid w:val="00D42814"/>
    <w:rsid w:val="00D443ED"/>
    <w:rsid w:val="00D444F2"/>
    <w:rsid w:val="00D50F4E"/>
    <w:rsid w:val="00D52095"/>
    <w:rsid w:val="00D558CD"/>
    <w:rsid w:val="00D609CC"/>
    <w:rsid w:val="00D70CE4"/>
    <w:rsid w:val="00D71500"/>
    <w:rsid w:val="00D728C4"/>
    <w:rsid w:val="00D8154D"/>
    <w:rsid w:val="00D83898"/>
    <w:rsid w:val="00D84DBC"/>
    <w:rsid w:val="00D922D7"/>
    <w:rsid w:val="00D94D65"/>
    <w:rsid w:val="00DA6483"/>
    <w:rsid w:val="00DB1FE3"/>
    <w:rsid w:val="00DB2028"/>
    <w:rsid w:val="00DB6969"/>
    <w:rsid w:val="00DB6AAF"/>
    <w:rsid w:val="00DC1D11"/>
    <w:rsid w:val="00DC5254"/>
    <w:rsid w:val="00DC5EAF"/>
    <w:rsid w:val="00DC76B7"/>
    <w:rsid w:val="00DD1806"/>
    <w:rsid w:val="00DD5041"/>
    <w:rsid w:val="00DE1EEB"/>
    <w:rsid w:val="00DE3135"/>
    <w:rsid w:val="00DE58F0"/>
    <w:rsid w:val="00DE63CB"/>
    <w:rsid w:val="00DE72C5"/>
    <w:rsid w:val="00DF24F4"/>
    <w:rsid w:val="00DF3A1E"/>
    <w:rsid w:val="00DF74BA"/>
    <w:rsid w:val="00E11FCD"/>
    <w:rsid w:val="00E20C50"/>
    <w:rsid w:val="00E21A98"/>
    <w:rsid w:val="00E26D8B"/>
    <w:rsid w:val="00E26E96"/>
    <w:rsid w:val="00E303FC"/>
    <w:rsid w:val="00E35680"/>
    <w:rsid w:val="00E36ADF"/>
    <w:rsid w:val="00E370D8"/>
    <w:rsid w:val="00E544E6"/>
    <w:rsid w:val="00E71E2D"/>
    <w:rsid w:val="00E74401"/>
    <w:rsid w:val="00E75557"/>
    <w:rsid w:val="00E806AB"/>
    <w:rsid w:val="00E82F58"/>
    <w:rsid w:val="00E85498"/>
    <w:rsid w:val="00E9624D"/>
    <w:rsid w:val="00E96A74"/>
    <w:rsid w:val="00EA52BB"/>
    <w:rsid w:val="00EA70D3"/>
    <w:rsid w:val="00EB0DFD"/>
    <w:rsid w:val="00EB2546"/>
    <w:rsid w:val="00EC0A0E"/>
    <w:rsid w:val="00EC12EB"/>
    <w:rsid w:val="00EC459E"/>
    <w:rsid w:val="00EC6886"/>
    <w:rsid w:val="00ED0B71"/>
    <w:rsid w:val="00ED2134"/>
    <w:rsid w:val="00EE0935"/>
    <w:rsid w:val="00EF129E"/>
    <w:rsid w:val="00EF1CD1"/>
    <w:rsid w:val="00EF77EC"/>
    <w:rsid w:val="00EF7B18"/>
    <w:rsid w:val="00F06A57"/>
    <w:rsid w:val="00F1222C"/>
    <w:rsid w:val="00F134A6"/>
    <w:rsid w:val="00F13A2B"/>
    <w:rsid w:val="00F15C07"/>
    <w:rsid w:val="00F16328"/>
    <w:rsid w:val="00F305AE"/>
    <w:rsid w:val="00F30EAB"/>
    <w:rsid w:val="00F3356A"/>
    <w:rsid w:val="00F4590A"/>
    <w:rsid w:val="00F5067C"/>
    <w:rsid w:val="00F55A67"/>
    <w:rsid w:val="00F7060D"/>
    <w:rsid w:val="00F74D4D"/>
    <w:rsid w:val="00F82777"/>
    <w:rsid w:val="00F8277C"/>
    <w:rsid w:val="00F83A93"/>
    <w:rsid w:val="00F91BCA"/>
    <w:rsid w:val="00F92B83"/>
    <w:rsid w:val="00F948C0"/>
    <w:rsid w:val="00F956D4"/>
    <w:rsid w:val="00FA332F"/>
    <w:rsid w:val="00FA418A"/>
    <w:rsid w:val="00FB0F8E"/>
    <w:rsid w:val="00FB3E83"/>
    <w:rsid w:val="00FC1644"/>
    <w:rsid w:val="00FD1645"/>
    <w:rsid w:val="00FD58CD"/>
    <w:rsid w:val="00FD77A8"/>
    <w:rsid w:val="00FE2C18"/>
    <w:rsid w:val="00FE634E"/>
    <w:rsid w:val="00FE7D1E"/>
    <w:rsid w:val="00FF0527"/>
    <w:rsid w:val="00FF1796"/>
    <w:rsid w:val="00FF367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730C9"/>
  <w15:docId w15:val="{E06C1AE9-0616-4140-AFDE-2E53973B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8E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 w:type="paragraph" w:styleId="EndnoteText">
    <w:name w:val="endnote text"/>
    <w:basedOn w:val="Normal"/>
    <w:link w:val="EndnoteTextChar"/>
    <w:uiPriority w:val="99"/>
    <w:semiHidden/>
    <w:unhideWhenUsed/>
    <w:rsid w:val="00CA188A"/>
    <w:pPr>
      <w:spacing w:before="0" w:after="0" w:line="240" w:lineRule="auto"/>
    </w:pPr>
    <w:rPr>
      <w:rFonts w:asciiTheme="minorHAnsi" w:eastAsiaTheme="minorHAnsi" w:hAnsiTheme="minorHAnsi" w:cstheme="minorBidi"/>
      <w:color w:val="auto"/>
      <w:kern w:val="2"/>
      <w:szCs w:val="20"/>
      <w:lang w:eastAsia="en-US"/>
      <w14:ligatures w14:val="standardContextual"/>
    </w:rPr>
  </w:style>
  <w:style w:type="character" w:customStyle="1" w:styleId="EndnoteTextChar">
    <w:name w:val="Endnote Text Char"/>
    <w:basedOn w:val="DefaultParagraphFont"/>
    <w:link w:val="EndnoteText"/>
    <w:uiPriority w:val="99"/>
    <w:semiHidden/>
    <w:rsid w:val="00CA188A"/>
    <w:rPr>
      <w:rFonts w:eastAsiaTheme="minorHAnsi" w:cstheme="minorBidi"/>
      <w:color w:val="auto"/>
      <w:kern w:val="2"/>
      <w:sz w:val="20"/>
      <w:szCs w:val="20"/>
      <w:lang w:eastAsia="en-US"/>
      <w14:ligatures w14:val="standardContextual"/>
    </w:rPr>
  </w:style>
  <w:style w:type="character" w:styleId="EndnoteReference">
    <w:name w:val="endnote reference"/>
    <w:basedOn w:val="DefaultParagraphFont"/>
    <w:uiPriority w:val="99"/>
    <w:semiHidden/>
    <w:unhideWhenUsed/>
    <w:rsid w:val="00CA188A"/>
    <w:rPr>
      <w:vertAlign w:val="superscript"/>
    </w:rPr>
  </w:style>
  <w:style w:type="paragraph" w:styleId="Revision">
    <w:name w:val="Revision"/>
    <w:hidden/>
    <w:uiPriority w:val="99"/>
    <w:semiHidden/>
    <w:rsid w:val="00902C87"/>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56/NEJMoa1816832" TargetMode="External"/><Relationship Id="rId2" Type="http://schemas.openxmlformats.org/officeDocument/2006/relationships/hyperlink" Target="https://doi.org/10.1002/14651858.CD003402.pub3" TargetMode="External"/><Relationship Id="rId1" Type="http://schemas.openxmlformats.org/officeDocument/2006/relationships/hyperlink" Target="https://doi.org/10.1001/jama.2010.1507" TargetMode="External"/><Relationship Id="rId6" Type="http://schemas.openxmlformats.org/officeDocument/2006/relationships/hyperlink" Target="https://doi.org/10.2147/CEOR.S585692" TargetMode="External"/><Relationship Id="rId5" Type="http://schemas.openxmlformats.org/officeDocument/2006/relationships/hyperlink" Target="https://doi.org/10.5694/mja2.70101" TargetMode="External"/><Relationship Id="rId4" Type="http://schemas.openxmlformats.org/officeDocument/2006/relationships/hyperlink" Target="https://doi.org/10.1111/1471-0528.1616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3%20-%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RESTRANS-460161335-13269</_dlc_DocId>
    <_dlc_DocIdUrl xmlns="ef8499da-f70f-48c9-a6de-e578977a26c0">
      <Url>https://nhmrc.sharepoint.com/sites/restrans/_layouts/15/DocIdRedir.aspx?ID=RESTRANS-460161335-13269</Url>
      <Description>RESTRANS-460161335-13269</Description>
    </_dlc_DocIdUrl>
    <_dlc_DocIdPersistId xmlns="ef8499da-f70f-48c9-a6de-e578977a26c0">false</_dlc_DocIdPersistId>
    <RTStrategy xmlns="9a68d8fb-8d6a-4c64-be9d-45c421871349" xsi:nil="true"/>
    <_ip_UnifiedCompliancePolicyUIAction xmlns="http://schemas.microsoft.com/sharepoint/v3" xsi:nil="true"/>
    <lcf76f155ced4ddcb4097134ff3c332f xmlns="9a68d8fb-8d6a-4c64-be9d-45c421871349">
      <Terms xmlns="http://schemas.microsoft.com/office/infopath/2007/PartnerControls"/>
    </lcf76f155ced4ddcb4097134ff3c332f>
    <_ip_UnifiedCompliancePolicyProperties xmlns="http://schemas.microsoft.com/sharepoint/v3" xsi:nil="true"/>
    <Notes xmlns="9a68d8fb-8d6a-4c64-be9d-45c421871349">254</Notes>
    <TaxCatchAll xmlns="ef8499da-f70f-48c9-a6de-e578977a26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F099A69591A4F802C2BF631935F16" ma:contentTypeVersion="21" ma:contentTypeDescription="Create a new document." ma:contentTypeScope="" ma:versionID="c51300f5fc535f3683ed3eee4e6121cc">
  <xsd:schema xmlns:xsd="http://www.w3.org/2001/XMLSchema" xmlns:xs="http://www.w3.org/2001/XMLSchema" xmlns:p="http://schemas.microsoft.com/office/2006/metadata/properties" xmlns:ns1="http://schemas.microsoft.com/sharepoint/v3" xmlns:ns2="ef8499da-f70f-48c9-a6de-e578977a26c0" xmlns:ns3="9a68d8fb-8d6a-4c64-be9d-45c421871349" targetNamespace="http://schemas.microsoft.com/office/2006/metadata/properties" ma:root="true" ma:fieldsID="4fdcd6808bd1928fd592f9acefc2d75d" ns1:_="" ns2:_="" ns3:_="">
    <xsd:import namespace="http://schemas.microsoft.com/sharepoint/v3"/>
    <xsd:import namespace="ef8499da-f70f-48c9-a6de-e578977a26c0"/>
    <xsd:import namespace="9a68d8fb-8d6a-4c64-be9d-45c4218713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RTStrategy" minOccurs="0"/>
                <xsd:element ref="ns3:MediaServiceObjectDetectorVersions" minOccurs="0"/>
                <xsd:element ref="ns3:Notes"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d8fb-8d6a-4c64-be9d-45c4218713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RTStrategy" ma:index="23" nillable="true" ma:displayName="RT Strategy" ma:description="This is the published web accessible version." ma:format="Dropdown" ma:internalName="RTStrategy">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default="254" ma:description="Notes relevant to files" ma:format="Dropdown" ma:internalName="Notes">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98D35-E949-4B4C-B6EB-8834F1089BE6}">
  <ds:schemaRefs>
    <ds:schemaRef ds:uri="http://schemas.microsoft.com/office/2006/metadata/properties"/>
    <ds:schemaRef ds:uri="http://schemas.microsoft.com/office/infopath/2007/PartnerControls"/>
    <ds:schemaRef ds:uri="ef8499da-f70f-48c9-a6de-e578977a26c0"/>
    <ds:schemaRef ds:uri="9a68d8fb-8d6a-4c64-be9d-45c421871349"/>
    <ds:schemaRef ds:uri="http://schemas.microsoft.com/sharepoint/v3"/>
  </ds:schemaRefs>
</ds:datastoreItem>
</file>

<file path=customXml/itemProps2.xml><?xml version="1.0" encoding="utf-8"?>
<ds:datastoreItem xmlns:ds="http://schemas.openxmlformats.org/officeDocument/2006/customXml" ds:itemID="{754DF0E5-819E-4EEF-8D39-799FBEE2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9a68d8fb-8d6a-4c64-be9d-45c421871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customXml/itemProps4.xml><?xml version="1.0" encoding="utf-8"?>
<ds:datastoreItem xmlns:ds="http://schemas.openxmlformats.org/officeDocument/2006/customXml" ds:itemID="{2DBEE2B8-3BD0-4633-AE10-673B02D74F84}">
  <ds:schemaRefs>
    <ds:schemaRef ds:uri="http://schemas.microsoft.com/sharepoint/events"/>
  </ds:schemaRefs>
</ds:datastoreItem>
</file>

<file path=customXml/itemProps5.xml><?xml version="1.0" encoding="utf-8"?>
<ds:datastoreItem xmlns:ds="http://schemas.openxmlformats.org/officeDocument/2006/customXml" ds:itemID="{EDADFDA9-8383-43FE-ABCB-9527F45D8D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03%20-%20Standard%20Document.dotx</Template>
  <TotalTime>0</TotalTime>
  <Pages>4</Pages>
  <Words>851</Words>
  <Characters>5546</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Document with a title page, table contents</vt:lpstr>
    </vt:vector>
  </TitlesOfParts>
  <Company/>
  <LinksUpToDate>false</LinksUpToDate>
  <CharactersWithSpaces>6350</CharactersWithSpaces>
  <SharedDoc>false</SharedDoc>
  <HLinks>
    <vt:vector size="36" baseType="variant">
      <vt:variant>
        <vt:i4>4980807</vt:i4>
      </vt:variant>
      <vt:variant>
        <vt:i4>15</vt:i4>
      </vt:variant>
      <vt:variant>
        <vt:i4>0</vt:i4>
      </vt:variant>
      <vt:variant>
        <vt:i4>5</vt:i4>
      </vt:variant>
      <vt:variant>
        <vt:lpwstr>https://doi.org/10.2147/CEOR.S585692</vt:lpwstr>
      </vt:variant>
      <vt:variant>
        <vt:lpwstr/>
      </vt:variant>
      <vt:variant>
        <vt:i4>7405690</vt:i4>
      </vt:variant>
      <vt:variant>
        <vt:i4>12</vt:i4>
      </vt:variant>
      <vt:variant>
        <vt:i4>0</vt:i4>
      </vt:variant>
      <vt:variant>
        <vt:i4>5</vt:i4>
      </vt:variant>
      <vt:variant>
        <vt:lpwstr>https://doi.org/10.5694/mja2.70101</vt:lpwstr>
      </vt:variant>
      <vt:variant>
        <vt:lpwstr/>
      </vt:variant>
      <vt:variant>
        <vt:i4>3866748</vt:i4>
      </vt:variant>
      <vt:variant>
        <vt:i4>9</vt:i4>
      </vt:variant>
      <vt:variant>
        <vt:i4>0</vt:i4>
      </vt:variant>
      <vt:variant>
        <vt:i4>5</vt:i4>
      </vt:variant>
      <vt:variant>
        <vt:lpwstr>https://doi.org/10.1111/1471-0528.16168</vt:lpwstr>
      </vt:variant>
      <vt:variant>
        <vt:lpwstr/>
      </vt:variant>
      <vt:variant>
        <vt:i4>4325391</vt:i4>
      </vt:variant>
      <vt:variant>
        <vt:i4>6</vt:i4>
      </vt:variant>
      <vt:variant>
        <vt:i4>0</vt:i4>
      </vt:variant>
      <vt:variant>
        <vt:i4>5</vt:i4>
      </vt:variant>
      <vt:variant>
        <vt:lpwstr>https://doi.org/10.1056/NEJMoa1816832</vt:lpwstr>
      </vt:variant>
      <vt:variant>
        <vt:lpwstr/>
      </vt:variant>
      <vt:variant>
        <vt:i4>2752565</vt:i4>
      </vt:variant>
      <vt:variant>
        <vt:i4>3</vt:i4>
      </vt:variant>
      <vt:variant>
        <vt:i4>0</vt:i4>
      </vt:variant>
      <vt:variant>
        <vt:i4>5</vt:i4>
      </vt:variant>
      <vt:variant>
        <vt:lpwstr>https://doi.org/10.1002/14651858.CD003402.pub3</vt:lpwstr>
      </vt:variant>
      <vt:variant>
        <vt:lpwstr/>
      </vt:variant>
      <vt:variant>
        <vt:i4>3932275</vt:i4>
      </vt:variant>
      <vt:variant>
        <vt:i4>0</vt:i4>
      </vt:variant>
      <vt:variant>
        <vt:i4>0</vt:i4>
      </vt:variant>
      <vt:variant>
        <vt:i4>5</vt:i4>
      </vt:variant>
      <vt:variant>
        <vt:lpwstr>https://doi.org/10.1001/jama.2010.1507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research to routine care: The Omega-3 Test-and-Treat Program for preterm birth prevention</dc:title>
  <dc:subject/>
  <dc:creator>Mary Wasson</dc:creator>
  <cp:keywords/>
  <cp:lastModifiedBy>Mary Wasson</cp:lastModifiedBy>
  <cp:revision>2</cp:revision>
  <dcterms:created xsi:type="dcterms:W3CDTF">2026-07-09T04:41:00Z</dcterms:created>
  <dcterms:modified xsi:type="dcterms:W3CDTF">2026-07-09T04:41:00Z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0x010100896F099A69591A4F802C2BF631935F16</vt:lpwstr>
  </property>
  <property fmtid="{D5CDD505-2E9C-101B-9397-08002B2CF9AE}" pid="3" name="MSIP_Label_fba3502d-09f9-4350-b49d-9cee4033cd14_Enabled">
    <vt:lpwstr>true</vt:lpwstr>
  </property>
  <property fmtid="{D5CDD505-2E9C-101B-9397-08002B2CF9AE}" pid="4" name="MSIP_Label_fba3502d-09f9-4350-b49d-9cee4033cd14_SetDate">
    <vt:lpwstr>2022-10-13T06:04:02Z</vt:lpwstr>
  </property>
  <property fmtid="{D5CDD505-2E9C-101B-9397-08002B2CF9AE}" pid="5" name="MSIP_Label_fba3502d-09f9-4350-b49d-9cee4033cd14_Method">
    <vt:lpwstr>Privileged</vt:lpwstr>
  </property>
  <property fmtid="{D5CDD505-2E9C-101B-9397-08002B2CF9AE}" pid="6" name="MSIP_Label_fba3502d-09f9-4350-b49d-9cee4033cd14_Name">
    <vt:lpwstr>UNOFFICIAL</vt:lpwstr>
  </property>
  <property fmtid="{D5CDD505-2E9C-101B-9397-08002B2CF9AE}" pid="7" name="MSIP_Label_fba3502d-09f9-4350-b49d-9cee4033cd14_SiteId">
    <vt:lpwstr>402fca06-dc9c-412f-9bf9-1a335a4671f7</vt:lpwstr>
  </property>
  <property fmtid="{D5CDD505-2E9C-101B-9397-08002B2CF9AE}" pid="8" name="MSIP_Label_fba3502d-09f9-4350-b49d-9cee4033cd14_ActionId">
    <vt:lpwstr>ef7eee2f-1119-4254-8ad8-5deea4bd6f59</vt:lpwstr>
  </property>
  <property fmtid="{D5CDD505-2E9C-101B-9397-08002B2CF9AE}" pid="9" name="MSIP_Label_fba3502d-09f9-4350-b49d-9cee4033cd14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_dlc_DocIdItemGuid">
    <vt:lpwstr>cb3770fa-62f4-4349-ac28-730c54f3540a</vt:lpwstr>
  </property>
</Properties>
</file>