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0F67" w14:textId="408EE236" w:rsidR="00C55C37" w:rsidRPr="00EB0DFD" w:rsidRDefault="00CA188A" w:rsidP="00EB0DFD">
      <w:pPr>
        <w:pStyle w:val="Heading1"/>
      </w:pPr>
      <w:r w:rsidRPr="00CA188A">
        <w:rPr>
          <w:lang w:val="en-US"/>
        </w:rPr>
        <w:t xml:space="preserve">Research Translation Case Study  </w:t>
      </w:r>
    </w:p>
    <w:p w14:paraId="79DDF794" w14:textId="70CB1664" w:rsidR="00420DE9" w:rsidRPr="00420DE9" w:rsidRDefault="00742C77" w:rsidP="00420DE9">
      <w:pPr>
        <w:pStyle w:val="Heading2noline"/>
        <w:rPr>
          <w:lang w:val="en-US"/>
        </w:rPr>
      </w:pPr>
      <w:proofErr w:type="spellStart"/>
      <w:r w:rsidRPr="00742C77">
        <w:rPr>
          <w:lang w:val="en-US"/>
        </w:rPr>
        <w:t>TransformUs</w:t>
      </w:r>
      <w:proofErr w:type="spellEnd"/>
      <w:r w:rsidRPr="00742C77">
        <w:rPr>
          <w:lang w:val="en-US"/>
        </w:rPr>
        <w:t xml:space="preserve">: Partnering with the education, health and sport sectors to </w:t>
      </w:r>
      <w:proofErr w:type="spellStart"/>
      <w:r w:rsidRPr="00742C77">
        <w:rPr>
          <w:lang w:val="en-US"/>
        </w:rPr>
        <w:t>revolutionise</w:t>
      </w:r>
      <w:proofErr w:type="spellEnd"/>
      <w:r>
        <w:rPr>
          <w:lang w:val="en-US"/>
        </w:rPr>
        <w:t xml:space="preserve"> </w:t>
      </w:r>
      <w:r w:rsidRPr="00742C77">
        <w:rPr>
          <w:lang w:val="en-US"/>
        </w:rPr>
        <w:t>the Australian classroom</w:t>
      </w:r>
    </w:p>
    <w:p w14:paraId="564DC594" w14:textId="2899D549" w:rsidR="00B72B2F" w:rsidRPr="00371054" w:rsidRDefault="00AC1667" w:rsidP="00420DE9">
      <w:pPr>
        <w:pStyle w:val="Heading3"/>
        <w:rPr>
          <w:lang w:val="en-US"/>
        </w:rPr>
      </w:pPr>
      <w:r w:rsidRPr="00AC1667">
        <w:rPr>
          <w:lang w:val="en-US"/>
        </w:rPr>
        <w:t xml:space="preserve">Pathway: Public health and health-system level </w:t>
      </w:r>
      <w:r w:rsidR="00B72B2F">
        <w:rPr>
          <w:lang w:val="en-US"/>
        </w:rPr>
        <w:t>i</w:t>
      </w:r>
      <w:r w:rsidRPr="00AC1667">
        <w:rPr>
          <w:lang w:val="en-US"/>
        </w:rPr>
        <w:t>ntervention</w:t>
      </w:r>
    </w:p>
    <w:p w14:paraId="2124ECF9" w14:textId="0418E33F" w:rsidR="00CA188A" w:rsidRPr="00CA188A" w:rsidRDefault="00CA188A" w:rsidP="00D94D65">
      <w:pPr>
        <w:pStyle w:val="Heading4"/>
      </w:pPr>
      <w:r w:rsidRPr="00CA188A">
        <w:t>D</w:t>
      </w:r>
      <w:r w:rsidR="00D94D65">
        <w:t>iscovery</w:t>
      </w:r>
      <w:r w:rsidR="00B72B2F">
        <w:t xml:space="preserve"> </w:t>
      </w:r>
      <w:r w:rsidRPr="00CA188A">
        <w:t>(</w:t>
      </w:r>
      <w:r w:rsidR="00B72B2F">
        <w:t>20</w:t>
      </w:r>
      <w:r w:rsidR="00D4626B">
        <w:t>01</w:t>
      </w:r>
      <w:r w:rsidR="00CD0DE8">
        <w:t>–</w:t>
      </w:r>
      <w:r w:rsidR="00D4626B">
        <w:t>2004</w:t>
      </w:r>
      <w:r w:rsidRPr="00CA188A">
        <w:t>)</w:t>
      </w:r>
    </w:p>
    <w:p w14:paraId="5235327A" w14:textId="689430FF" w:rsidR="001A7A44" w:rsidRDefault="001A7A44" w:rsidP="001A7A44">
      <w:r w:rsidRPr="001A7A44">
        <w:t>With rising concern about low levels of physical activity and the health, wellbeing and learning outcomes of primary school children in Australia, Professor Jo Salmon led early research to determine the health benefits of primary school children moving more and sitting less in the classroom through a group randomised-controlled trial</w:t>
      </w:r>
      <w:r w:rsidR="00F66686">
        <w:rPr>
          <w:rStyle w:val="EndnoteReference"/>
        </w:rPr>
        <w:endnoteReference w:id="1"/>
      </w:r>
      <w:r w:rsidRPr="001A7A44">
        <w:rPr>
          <w:vertAlign w:val="superscript"/>
        </w:rPr>
        <w:t xml:space="preserve">  </w:t>
      </w:r>
      <w:r w:rsidRPr="001A7A44">
        <w:t xml:space="preserve">that demonstrated a promising approach to prevent excess weight gain and promote physical activity among children. This initial phase was funded by the Victoria Health Promotion Agency and included engagement with key staff across the Victorian Department of Education, the Victorian Association for Child Health Physical Education and Recreation (ACHPER) and the Victorian Curriculum Assessment Authority (VCAA). </w:t>
      </w:r>
    </w:p>
    <w:p w14:paraId="4B744BD0" w14:textId="77777777" w:rsidR="009E48A3" w:rsidRPr="00420DE9" w:rsidRDefault="009E48A3" w:rsidP="00420DE9">
      <w:pPr>
        <w:pStyle w:val="Heading5"/>
        <w:rPr>
          <w:lang w:val="en-US"/>
        </w:rPr>
      </w:pPr>
      <w:r w:rsidRPr="00420DE9">
        <w:rPr>
          <w:lang w:val="en-US"/>
        </w:rPr>
        <w:t xml:space="preserve">Translation: </w:t>
      </w:r>
    </w:p>
    <w:p w14:paraId="74E334FA" w14:textId="6AB968D1" w:rsidR="009E48A3" w:rsidRPr="001A7A44" w:rsidRDefault="002743E0" w:rsidP="00170E18">
      <w:pPr>
        <w:pStyle w:val="ListParagraph"/>
        <w:numPr>
          <w:ilvl w:val="0"/>
          <w:numId w:val="33"/>
        </w:numPr>
      </w:pPr>
      <w:r>
        <w:t>2001</w:t>
      </w:r>
      <w:r w:rsidR="00CD0DE8">
        <w:t>–</w:t>
      </w:r>
      <w:r>
        <w:t xml:space="preserve">2004 - </w:t>
      </w:r>
      <w:r w:rsidR="00170E18" w:rsidRPr="00170E18">
        <w:t>Early testing of strategies to reduce sitting in classroom</w:t>
      </w:r>
      <w:r w:rsidR="00AE4BF3">
        <w:t>.</w:t>
      </w:r>
      <w:r w:rsidR="00170E18" w:rsidRPr="00170E18">
        <w:rPr>
          <w:vertAlign w:val="superscript"/>
        </w:rPr>
        <w:t>1</w:t>
      </w:r>
    </w:p>
    <w:p w14:paraId="024CAE48" w14:textId="77777777" w:rsidR="00452258" w:rsidRPr="00420DE9" w:rsidRDefault="00CA188A" w:rsidP="00420DE9">
      <w:pPr>
        <w:pStyle w:val="Heading5"/>
      </w:pPr>
      <w:r w:rsidRPr="00420DE9">
        <w:t xml:space="preserve">Stakeholders: </w:t>
      </w:r>
    </w:p>
    <w:p w14:paraId="458E1F6B" w14:textId="7DE61374" w:rsidR="00CA188A" w:rsidRPr="00CA188A" w:rsidRDefault="009417F8" w:rsidP="009417F8">
      <w:r w:rsidRPr="009417F8">
        <w:t>Policymaker</w:t>
      </w:r>
      <w:r w:rsidR="0027038F">
        <w:t xml:space="preserve">/Government </w:t>
      </w:r>
      <w:r w:rsidR="00FB3E70">
        <w:t>d</w:t>
      </w:r>
      <w:r w:rsidR="0027038F">
        <w:t>epartment</w:t>
      </w:r>
      <w:r w:rsidR="00033D6B">
        <w:t>;</w:t>
      </w:r>
      <w:r w:rsidRPr="009417F8">
        <w:t xml:space="preserve"> </w:t>
      </w:r>
      <w:r w:rsidR="0027038F">
        <w:t>Regulatory body/Statutory body</w:t>
      </w:r>
      <w:r w:rsidR="00033D6B">
        <w:t>;</w:t>
      </w:r>
      <w:r w:rsidRPr="009417F8">
        <w:t xml:space="preserve"> </w:t>
      </w:r>
      <w:r w:rsidR="0046294B">
        <w:t>Researchers</w:t>
      </w:r>
      <w:r w:rsidR="00033D6B">
        <w:t>;</w:t>
      </w:r>
      <w:r w:rsidR="000C6D75">
        <w:t xml:space="preserve"> </w:t>
      </w:r>
      <w:r w:rsidRPr="009417F8">
        <w:t>Consumers and community</w:t>
      </w:r>
      <w:r w:rsidR="00545478">
        <w:t xml:space="preserve"> – including sporting organisation and not</w:t>
      </w:r>
      <w:r w:rsidR="005E7FCF">
        <w:t>-for-profit</w:t>
      </w:r>
      <w:r>
        <w:t>.</w:t>
      </w:r>
    </w:p>
    <w:p w14:paraId="78582362" w14:textId="77777777" w:rsidR="00CA188A" w:rsidRPr="00420DE9" w:rsidRDefault="00CA188A" w:rsidP="00420DE9">
      <w:pPr>
        <w:pStyle w:val="Heading5"/>
      </w:pPr>
      <w:r w:rsidRPr="00420DE9">
        <w:t xml:space="preserve">Stages: </w:t>
      </w:r>
    </w:p>
    <w:p w14:paraId="3114E44A" w14:textId="65F6F928" w:rsidR="008A1F7F" w:rsidRPr="000151BE" w:rsidRDefault="00450EA6" w:rsidP="000151BE">
      <w:pPr>
        <w:pStyle w:val="ListParagraph"/>
        <w:numPr>
          <w:ilvl w:val="0"/>
          <w:numId w:val="32"/>
        </w:numPr>
        <w:ind w:left="714" w:hanging="357"/>
      </w:pPr>
      <w:r w:rsidRPr="00450EA6">
        <w:t xml:space="preserve">Problem </w:t>
      </w:r>
      <w:r w:rsidR="006B46D3">
        <w:t>i</w:t>
      </w:r>
      <w:r w:rsidRPr="00450EA6">
        <w:t xml:space="preserve">dentification and </w:t>
      </w:r>
      <w:r>
        <w:t>p</w:t>
      </w:r>
      <w:r w:rsidRPr="00450EA6">
        <w:t>rioritisation</w:t>
      </w:r>
      <w:r w:rsidR="00AE4BF3">
        <w:t>.</w:t>
      </w:r>
    </w:p>
    <w:p w14:paraId="64FBEE48" w14:textId="565887A7" w:rsidR="008A1F7F" w:rsidRDefault="00B428A6" w:rsidP="00420DE9">
      <w:pPr>
        <w:pStyle w:val="Heading4"/>
        <w:rPr>
          <w:lang w:val="en-US"/>
        </w:rPr>
      </w:pPr>
      <w:r>
        <w:rPr>
          <w:lang w:val="en-US"/>
        </w:rPr>
        <w:t xml:space="preserve">Development </w:t>
      </w:r>
      <w:r w:rsidR="006B46D3">
        <w:rPr>
          <w:lang w:val="en-US"/>
        </w:rPr>
        <w:t xml:space="preserve">and testing </w:t>
      </w:r>
      <w:r w:rsidR="008A1F7F" w:rsidRPr="008A1F7F">
        <w:rPr>
          <w:lang w:val="en-US"/>
        </w:rPr>
        <w:t>(20</w:t>
      </w:r>
      <w:r w:rsidR="00D36DCD">
        <w:rPr>
          <w:lang w:val="en-US"/>
        </w:rPr>
        <w:t>09</w:t>
      </w:r>
      <w:r w:rsidR="00CD0DE8">
        <w:rPr>
          <w:lang w:val="en-US"/>
        </w:rPr>
        <w:t>–</w:t>
      </w:r>
      <w:r w:rsidR="008A1F7F" w:rsidRPr="008A1F7F">
        <w:rPr>
          <w:lang w:val="en-US"/>
        </w:rPr>
        <w:t>201</w:t>
      </w:r>
      <w:r w:rsidR="00D36DCD">
        <w:rPr>
          <w:lang w:val="en-US"/>
        </w:rPr>
        <w:t>3</w:t>
      </w:r>
      <w:r w:rsidR="008A1F7F" w:rsidRPr="008A1F7F">
        <w:rPr>
          <w:lang w:val="en-US"/>
        </w:rPr>
        <w:t>)</w:t>
      </w:r>
    </w:p>
    <w:p w14:paraId="20C17464" w14:textId="7ACAC3CE" w:rsidR="00AE14B0" w:rsidRPr="00AE14B0" w:rsidRDefault="00AE14B0" w:rsidP="00AE14B0">
      <w:r w:rsidRPr="00AE14B0">
        <w:t xml:space="preserve">The impact of </w:t>
      </w:r>
      <w:proofErr w:type="spellStart"/>
      <w:r w:rsidRPr="00AE14B0">
        <w:t>TransformUs</w:t>
      </w:r>
      <w:proofErr w:type="spellEnd"/>
      <w:r w:rsidRPr="00AE14B0">
        <w:t>® was evaluated through a cluster randomised controlled trial, funded by a NHMRC Project Grant (2009</w:t>
      </w:r>
      <w:r w:rsidR="00CD0DE8">
        <w:t>–</w:t>
      </w:r>
      <w:r w:rsidRPr="00AE14B0">
        <w:t xml:space="preserve">2013) and a Diabetes Australia grant. The </w:t>
      </w:r>
      <w:proofErr w:type="gramStart"/>
      <w:r w:rsidRPr="00AE14B0">
        <w:t>2.5</w:t>
      </w:r>
      <w:r>
        <w:t xml:space="preserve"> </w:t>
      </w:r>
      <w:r w:rsidRPr="00AE14B0">
        <w:t>year</w:t>
      </w:r>
      <w:proofErr w:type="gramEnd"/>
      <w:r w:rsidRPr="00AE14B0">
        <w:t xml:space="preserve"> whole school physical activity intervention included data from approximately 600 primary school children and 220 teachers across 20 schools in Melbourne. Compared to the control group, children in the intervention group spent 63 minutes less time sitting on school days, engaged in five minutes more physical activity and had lower body mass index, waist circumference and improvements in some other health markers (e.g. vitamin D).</w:t>
      </w:r>
      <w:bookmarkStart w:id="0" w:name="_Ref233283046"/>
      <w:r w:rsidR="00B35220">
        <w:rPr>
          <w:rStyle w:val="EndnoteReference"/>
        </w:rPr>
        <w:endnoteReference w:id="2"/>
      </w:r>
      <w:bookmarkEnd w:id="0"/>
      <w:r w:rsidRPr="00AE14B0">
        <w:t xml:space="preserve"> Teachers reported that children showed greater concentration in class and improved classroom behaviour. The program was cost effective and was estimated to result in more than $600 million health care savings.</w:t>
      </w:r>
      <w:bookmarkStart w:id="1" w:name="_Ref233283055"/>
      <w:r w:rsidR="00C7050C">
        <w:rPr>
          <w:rStyle w:val="EndnoteReference"/>
        </w:rPr>
        <w:endnoteReference w:id="3"/>
      </w:r>
      <w:bookmarkEnd w:id="1"/>
      <w:r w:rsidRPr="00AE14B0">
        <w:t> </w:t>
      </w:r>
    </w:p>
    <w:p w14:paraId="2928A652" w14:textId="37540969" w:rsidR="005E705E" w:rsidRPr="00420DE9" w:rsidRDefault="009E48A3" w:rsidP="00420DE9">
      <w:pPr>
        <w:pStyle w:val="Heading5"/>
        <w:rPr>
          <w:lang w:val="en-US"/>
        </w:rPr>
      </w:pPr>
      <w:r w:rsidRPr="00420DE9">
        <w:rPr>
          <w:lang w:val="en-US"/>
        </w:rPr>
        <w:t>T</w:t>
      </w:r>
      <w:r w:rsidR="006A7C5A" w:rsidRPr="00420DE9">
        <w:rPr>
          <w:lang w:val="en-US"/>
        </w:rPr>
        <w:t>ranslation</w:t>
      </w:r>
      <w:r w:rsidR="00677E7A" w:rsidRPr="00420DE9">
        <w:rPr>
          <w:lang w:val="en-US"/>
        </w:rPr>
        <w:t xml:space="preserve">: </w:t>
      </w:r>
    </w:p>
    <w:p w14:paraId="6F2F175E" w14:textId="147E0C9A" w:rsidR="00E031B5" w:rsidRPr="00E031B5" w:rsidRDefault="00895A66" w:rsidP="00E031B5">
      <w:pPr>
        <w:pStyle w:val="ListParagraph"/>
        <w:numPr>
          <w:ilvl w:val="0"/>
          <w:numId w:val="28"/>
        </w:numPr>
        <w:rPr>
          <w:rFonts w:eastAsiaTheme="majorEastAsia" w:cstheme="majorBidi"/>
          <w:szCs w:val="20"/>
        </w:rPr>
      </w:pPr>
      <w:r w:rsidRPr="00E031B5">
        <w:rPr>
          <w:rStyle w:val="Heading6Char"/>
          <w:i w:val="0"/>
          <w:iCs w:val="0"/>
          <w:color w:val="000000" w:themeColor="text1"/>
          <w:lang w:val="en-US"/>
        </w:rPr>
        <w:t>20</w:t>
      </w:r>
      <w:r w:rsidR="00170E18" w:rsidRPr="00E031B5">
        <w:rPr>
          <w:rStyle w:val="Heading6Char"/>
          <w:i w:val="0"/>
          <w:iCs w:val="0"/>
          <w:color w:val="000000" w:themeColor="text1"/>
          <w:lang w:val="en-US"/>
        </w:rPr>
        <w:t>09</w:t>
      </w:r>
      <w:r w:rsidR="00CD0DE8">
        <w:rPr>
          <w:rStyle w:val="Heading6Char"/>
          <w:i w:val="0"/>
          <w:iCs w:val="0"/>
          <w:color w:val="000000" w:themeColor="text1"/>
          <w:lang w:val="en-US"/>
        </w:rPr>
        <w:t>–</w:t>
      </w:r>
      <w:r w:rsidR="00E031B5" w:rsidRPr="00E031B5">
        <w:rPr>
          <w:rStyle w:val="Heading6Char"/>
          <w:i w:val="0"/>
          <w:iCs w:val="0"/>
          <w:color w:val="000000" w:themeColor="text1"/>
          <w:lang w:val="en-US"/>
        </w:rPr>
        <w:t>2013</w:t>
      </w:r>
      <w:r w:rsidRPr="00E031B5">
        <w:rPr>
          <w:rStyle w:val="Heading6Char"/>
          <w:i w:val="0"/>
          <w:iCs w:val="0"/>
          <w:color w:val="000000" w:themeColor="text1"/>
          <w:lang w:val="en-US"/>
        </w:rPr>
        <w:t xml:space="preserve"> </w:t>
      </w:r>
      <w:r w:rsidR="002E63E9">
        <w:rPr>
          <w:rStyle w:val="Heading6Char"/>
          <w:i w:val="0"/>
          <w:iCs w:val="0"/>
          <w:color w:val="000000" w:themeColor="text1"/>
          <w:lang w:val="en-US"/>
        </w:rPr>
        <w:t>–</w:t>
      </w:r>
      <w:r w:rsidRPr="00E031B5">
        <w:rPr>
          <w:rStyle w:val="Heading6Char"/>
          <w:i w:val="0"/>
          <w:iCs w:val="0"/>
          <w:color w:val="000000" w:themeColor="text1"/>
          <w:lang w:val="en-US"/>
        </w:rPr>
        <w:t xml:space="preserve"> </w:t>
      </w:r>
      <w:r w:rsidR="00E031B5" w:rsidRPr="00E031B5">
        <w:rPr>
          <w:rFonts w:eastAsiaTheme="majorEastAsia" w:cstheme="majorBidi"/>
          <w:szCs w:val="20"/>
        </w:rPr>
        <w:t>Randomised</w:t>
      </w:r>
      <w:r w:rsidR="003A503B">
        <w:rPr>
          <w:rFonts w:eastAsiaTheme="majorEastAsia" w:cstheme="majorBidi"/>
          <w:szCs w:val="20"/>
        </w:rPr>
        <w:t>-c</w:t>
      </w:r>
      <w:r w:rsidR="00E031B5" w:rsidRPr="00E031B5">
        <w:rPr>
          <w:rFonts w:eastAsiaTheme="majorEastAsia" w:cstheme="majorBidi"/>
          <w:szCs w:val="20"/>
        </w:rPr>
        <w:t>ontrol</w:t>
      </w:r>
      <w:r w:rsidR="003A503B">
        <w:rPr>
          <w:rFonts w:eastAsiaTheme="majorEastAsia" w:cstheme="majorBidi"/>
          <w:szCs w:val="20"/>
        </w:rPr>
        <w:t>led</w:t>
      </w:r>
      <w:r w:rsidR="00E031B5" w:rsidRPr="00E031B5">
        <w:rPr>
          <w:rFonts w:eastAsiaTheme="majorEastAsia" w:cstheme="majorBidi"/>
          <w:szCs w:val="20"/>
        </w:rPr>
        <w:t xml:space="preserve"> </w:t>
      </w:r>
      <w:r w:rsidR="003A503B">
        <w:rPr>
          <w:rFonts w:eastAsiaTheme="majorEastAsia" w:cstheme="majorBidi"/>
          <w:szCs w:val="20"/>
        </w:rPr>
        <w:t>t</w:t>
      </w:r>
      <w:r w:rsidR="00E031B5" w:rsidRPr="00E031B5">
        <w:rPr>
          <w:rFonts w:eastAsiaTheme="majorEastAsia" w:cstheme="majorBidi"/>
          <w:szCs w:val="20"/>
        </w:rPr>
        <w:t>rial demonstrated benefits &amp; cost effectiveness of reducing sitting &amp; health outcomes</w:t>
      </w:r>
      <w:r w:rsidR="00C60D28" w:rsidRPr="00C60D28">
        <w:rPr>
          <w:rFonts w:eastAsiaTheme="majorEastAsia" w:cstheme="majorBidi"/>
          <w:szCs w:val="20"/>
          <w:vertAlign w:val="superscript"/>
        </w:rPr>
        <w:fldChar w:fldCharType="begin"/>
      </w:r>
      <w:r w:rsidR="00C60D28" w:rsidRPr="00C60D28">
        <w:rPr>
          <w:rFonts w:eastAsiaTheme="majorEastAsia" w:cstheme="majorBidi"/>
          <w:szCs w:val="20"/>
          <w:vertAlign w:val="superscript"/>
        </w:rPr>
        <w:instrText xml:space="preserve"> NOTEREF _Ref233283046 \h  \* MERGEFORMAT </w:instrText>
      </w:r>
      <w:r w:rsidR="00C60D28" w:rsidRPr="00C60D28">
        <w:rPr>
          <w:rFonts w:eastAsiaTheme="majorEastAsia" w:cstheme="majorBidi"/>
          <w:szCs w:val="20"/>
          <w:vertAlign w:val="superscript"/>
        </w:rPr>
      </w:r>
      <w:r w:rsidR="00C60D28" w:rsidRPr="00C60D28">
        <w:rPr>
          <w:rFonts w:eastAsiaTheme="majorEastAsia" w:cstheme="majorBidi"/>
          <w:szCs w:val="20"/>
          <w:vertAlign w:val="superscript"/>
        </w:rPr>
        <w:fldChar w:fldCharType="separate"/>
      </w:r>
      <w:r w:rsidR="00C60D28" w:rsidRPr="00C60D28">
        <w:rPr>
          <w:rFonts w:eastAsiaTheme="majorEastAsia" w:cstheme="majorBidi"/>
          <w:szCs w:val="20"/>
          <w:vertAlign w:val="superscript"/>
        </w:rPr>
        <w:t>2</w:t>
      </w:r>
      <w:r w:rsidR="00C60D28" w:rsidRPr="00C60D28">
        <w:rPr>
          <w:rFonts w:eastAsiaTheme="majorEastAsia" w:cstheme="majorBidi"/>
          <w:szCs w:val="20"/>
          <w:vertAlign w:val="superscript"/>
        </w:rPr>
        <w:fldChar w:fldCharType="end"/>
      </w:r>
      <w:r w:rsidR="00E031B5" w:rsidRPr="00E031B5">
        <w:rPr>
          <w:rFonts w:eastAsiaTheme="majorEastAsia" w:cstheme="majorBidi"/>
          <w:szCs w:val="20"/>
          <w:vertAlign w:val="superscript"/>
        </w:rPr>
        <w:t>,</w:t>
      </w:r>
      <w:r w:rsidR="00C60D28">
        <w:rPr>
          <w:rFonts w:eastAsiaTheme="majorEastAsia" w:cstheme="majorBidi"/>
          <w:szCs w:val="20"/>
          <w:vertAlign w:val="superscript"/>
        </w:rPr>
        <w:fldChar w:fldCharType="begin"/>
      </w:r>
      <w:r w:rsidR="00C60D28">
        <w:rPr>
          <w:rFonts w:eastAsiaTheme="majorEastAsia" w:cstheme="majorBidi"/>
          <w:szCs w:val="20"/>
          <w:vertAlign w:val="superscript"/>
        </w:rPr>
        <w:instrText xml:space="preserve"> NOTEREF _Ref233283055 \h </w:instrText>
      </w:r>
      <w:r w:rsidR="00C60D28">
        <w:rPr>
          <w:rFonts w:eastAsiaTheme="majorEastAsia" w:cstheme="majorBidi"/>
          <w:szCs w:val="20"/>
          <w:vertAlign w:val="superscript"/>
        </w:rPr>
      </w:r>
      <w:r w:rsidR="00C60D28">
        <w:rPr>
          <w:rFonts w:eastAsiaTheme="majorEastAsia" w:cstheme="majorBidi"/>
          <w:szCs w:val="20"/>
          <w:vertAlign w:val="superscript"/>
        </w:rPr>
        <w:fldChar w:fldCharType="separate"/>
      </w:r>
      <w:r w:rsidR="00C60D28">
        <w:rPr>
          <w:rFonts w:eastAsiaTheme="majorEastAsia" w:cstheme="majorBidi"/>
          <w:szCs w:val="20"/>
          <w:vertAlign w:val="superscript"/>
        </w:rPr>
        <w:t>3</w:t>
      </w:r>
      <w:r w:rsidR="00C60D28">
        <w:rPr>
          <w:rFonts w:eastAsiaTheme="majorEastAsia" w:cstheme="majorBidi"/>
          <w:szCs w:val="20"/>
          <w:vertAlign w:val="superscript"/>
        </w:rPr>
        <w:fldChar w:fldCharType="end"/>
      </w:r>
    </w:p>
    <w:p w14:paraId="0896D829" w14:textId="77777777" w:rsidR="00452258" w:rsidRPr="00420DE9" w:rsidRDefault="00CA188A" w:rsidP="00420DE9">
      <w:pPr>
        <w:pStyle w:val="Heading5"/>
        <w:rPr>
          <w:lang w:val="en-US"/>
        </w:rPr>
      </w:pPr>
      <w:r w:rsidRPr="00420DE9">
        <w:rPr>
          <w:lang w:val="en-US"/>
        </w:rPr>
        <w:lastRenderedPageBreak/>
        <w:t>Stakeholders:</w:t>
      </w:r>
      <w:r w:rsidR="006822D3" w:rsidRPr="00420DE9">
        <w:rPr>
          <w:lang w:val="en-US"/>
        </w:rPr>
        <w:t xml:space="preserve"> </w:t>
      </w:r>
    </w:p>
    <w:p w14:paraId="3B597512" w14:textId="5AD44148" w:rsidR="00027E5F" w:rsidRPr="00CA188A" w:rsidRDefault="00027E5F" w:rsidP="00027E5F">
      <w:r w:rsidRPr="009417F8">
        <w:t>Policymaker</w:t>
      </w:r>
      <w:r>
        <w:t>/Government Department</w:t>
      </w:r>
      <w:r w:rsidR="00033D6B">
        <w:t>;</w:t>
      </w:r>
      <w:r w:rsidRPr="009417F8">
        <w:t xml:space="preserve"> </w:t>
      </w:r>
      <w:r>
        <w:t>Funder</w:t>
      </w:r>
      <w:r w:rsidR="00033D6B">
        <w:t>;</w:t>
      </w:r>
      <w:r>
        <w:t xml:space="preserve"> Regulatory body/Statutory body</w:t>
      </w:r>
      <w:r w:rsidR="00033D6B">
        <w:t>;</w:t>
      </w:r>
      <w:r w:rsidRPr="009417F8">
        <w:t xml:space="preserve"> </w:t>
      </w:r>
      <w:r w:rsidR="0046294B">
        <w:t>Researchers</w:t>
      </w:r>
      <w:r w:rsidR="00033D6B">
        <w:t>;</w:t>
      </w:r>
      <w:r>
        <w:t xml:space="preserve"> </w:t>
      </w:r>
      <w:r w:rsidRPr="009417F8">
        <w:t>Consumers and community</w:t>
      </w:r>
      <w:r>
        <w:t xml:space="preserve"> – including sporting organisation and not-for-profit.</w:t>
      </w:r>
    </w:p>
    <w:p w14:paraId="49BE2999" w14:textId="71ED1551" w:rsidR="00CA188A" w:rsidRPr="00420DE9" w:rsidRDefault="00CA188A" w:rsidP="00420DE9">
      <w:pPr>
        <w:pStyle w:val="Heading5"/>
      </w:pPr>
      <w:r w:rsidRPr="00420DE9">
        <w:t>Stages:</w:t>
      </w:r>
    </w:p>
    <w:p w14:paraId="20986787" w14:textId="4F788932" w:rsidR="003B6C60" w:rsidRPr="003B6C60" w:rsidRDefault="003B6C60" w:rsidP="003B6C60">
      <w:pPr>
        <w:pStyle w:val="ListParagraph"/>
        <w:numPr>
          <w:ilvl w:val="0"/>
          <w:numId w:val="32"/>
        </w:numPr>
        <w:rPr>
          <w:lang w:val="en-US"/>
        </w:rPr>
      </w:pPr>
      <w:r w:rsidRPr="003B6C60">
        <w:rPr>
          <w:lang w:val="en-US"/>
        </w:rPr>
        <w:t>Intervention design and efficacy testing</w:t>
      </w:r>
      <w:r w:rsidR="00033D6B">
        <w:rPr>
          <w:lang w:val="en-US"/>
        </w:rPr>
        <w:t>.</w:t>
      </w:r>
    </w:p>
    <w:p w14:paraId="3BCBA318" w14:textId="5785DEB2" w:rsidR="00CA188A" w:rsidRPr="00CA188A" w:rsidRDefault="006C2E56" w:rsidP="00894D2B">
      <w:pPr>
        <w:pStyle w:val="Heading4"/>
      </w:pPr>
      <w:r>
        <w:t>Initial scaling</w:t>
      </w:r>
      <w:r w:rsidR="00CA188A" w:rsidRPr="00CA188A">
        <w:t xml:space="preserve"> (</w:t>
      </w:r>
      <w:r w:rsidR="009A694A">
        <w:t>201</w:t>
      </w:r>
      <w:r>
        <w:t>4</w:t>
      </w:r>
      <w:r w:rsidR="00CD0DE8">
        <w:t>–</w:t>
      </w:r>
      <w:r w:rsidR="00CA188A" w:rsidRPr="00CA188A">
        <w:t>20</w:t>
      </w:r>
      <w:r w:rsidR="009A694A">
        <w:t>2</w:t>
      </w:r>
      <w:r>
        <w:t>1</w:t>
      </w:r>
      <w:r w:rsidR="00CA188A" w:rsidRPr="00CA188A">
        <w:t>)</w:t>
      </w:r>
    </w:p>
    <w:p w14:paraId="58077F35" w14:textId="28D98DB4" w:rsidR="00F836E2" w:rsidRDefault="00952B4F" w:rsidP="00F836E2">
      <w:r>
        <w:t>I</w:t>
      </w:r>
      <w:r w:rsidR="00F836E2" w:rsidRPr="00F836E2">
        <w:t>n 2014</w:t>
      </w:r>
      <w:r w:rsidR="00CD0DE8">
        <w:t>–</w:t>
      </w:r>
      <w:r w:rsidR="00F836E2" w:rsidRPr="00F836E2">
        <w:t xml:space="preserve">2015 the research team partnered with two local government authorities to adapt </w:t>
      </w:r>
      <w:proofErr w:type="spellStart"/>
      <w:r w:rsidR="00F836E2" w:rsidRPr="00F836E2">
        <w:t>TransformUs</w:t>
      </w:r>
      <w:proofErr w:type="spellEnd"/>
      <w:r w:rsidR="00F836E2" w:rsidRPr="00F836E2">
        <w:t xml:space="preserve">® for scale up. In 2016, through a NHMRC Partnership Grant with six strategic partners </w:t>
      </w:r>
      <w:proofErr w:type="spellStart"/>
      <w:r w:rsidR="00F836E2" w:rsidRPr="00F836E2">
        <w:t>TransformUs</w:t>
      </w:r>
      <w:proofErr w:type="spellEnd"/>
      <w:r w:rsidR="00F836E2" w:rsidRPr="00F836E2">
        <w:t xml:space="preserve">® was scaled up to all Victorian </w:t>
      </w:r>
      <w:r w:rsidR="00187DF7">
        <w:t>p</w:t>
      </w:r>
      <w:r w:rsidR="00F836E2" w:rsidRPr="00F836E2">
        <w:t>rimary schools.</w:t>
      </w:r>
      <w:bookmarkStart w:id="2" w:name="_Ref233283143"/>
      <w:r w:rsidR="00C60D28">
        <w:rPr>
          <w:rStyle w:val="EndnoteReference"/>
        </w:rPr>
        <w:endnoteReference w:id="4"/>
      </w:r>
      <w:bookmarkEnd w:id="2"/>
      <w:r w:rsidR="00F836E2" w:rsidRPr="00F836E2">
        <w:t xml:space="preserve"> The number of partners grew to 17 over the five years. Education authorities and teacher professional organisations advised on curriculum alignment, resource development, dissemination and implementation, helping to reach 462 schools across Victoria. </w:t>
      </w:r>
      <w:proofErr w:type="spellStart"/>
      <w:r w:rsidR="00F836E2" w:rsidRPr="00F836E2">
        <w:t>TransformUs</w:t>
      </w:r>
      <w:proofErr w:type="spellEnd"/>
      <w:r w:rsidR="00F836E2" w:rsidRPr="00F836E2">
        <w:t>® was included in the Victorian Department of Education Active Schools toolkit, the Victorian Government’s Public Health &amp; Wellbeing Plan 2019</w:t>
      </w:r>
      <w:r w:rsidR="00CD0DE8">
        <w:t>–</w:t>
      </w:r>
      <w:r w:rsidR="00F836E2" w:rsidRPr="00F836E2">
        <w:t>2023, and the Victorian Department of Health Achievement Program</w:t>
      </w:r>
      <w:r w:rsidR="003E4720">
        <w:t xml:space="preserve"> as a school benchmark</w:t>
      </w:r>
      <w:r w:rsidR="00F836E2" w:rsidRPr="00F836E2">
        <w:t xml:space="preserve">. </w:t>
      </w:r>
      <w:r w:rsidR="003E4720">
        <w:t>It</w:t>
      </w:r>
      <w:r w:rsidR="00F836E2" w:rsidRPr="00F836E2">
        <w:t xml:space="preserve"> was also adapted and tested in schools in the UK.</w:t>
      </w:r>
    </w:p>
    <w:p w14:paraId="1D115D1E" w14:textId="4124A03C" w:rsidR="00FD77A8" w:rsidRPr="00420DE9" w:rsidRDefault="00D57356" w:rsidP="00420DE9">
      <w:pPr>
        <w:pStyle w:val="Heading5"/>
        <w:rPr>
          <w:lang w:val="en-US"/>
        </w:rPr>
      </w:pPr>
      <w:r w:rsidRPr="00420DE9">
        <w:rPr>
          <w:lang w:val="en-US"/>
        </w:rPr>
        <w:t>T</w:t>
      </w:r>
      <w:r w:rsidR="00FD77A8" w:rsidRPr="00420DE9">
        <w:rPr>
          <w:lang w:val="en-US"/>
        </w:rPr>
        <w:t xml:space="preserve">ranslation: </w:t>
      </w:r>
    </w:p>
    <w:p w14:paraId="7346815C" w14:textId="4266B787" w:rsidR="00554E4B" w:rsidRPr="00172541" w:rsidRDefault="00FD77A8" w:rsidP="00F8011D">
      <w:pPr>
        <w:pStyle w:val="ListParagraph"/>
        <w:numPr>
          <w:ilvl w:val="0"/>
          <w:numId w:val="30"/>
        </w:numPr>
        <w:rPr>
          <w:rFonts w:eastAsiaTheme="majorEastAsia" w:cstheme="majorBidi"/>
          <w:szCs w:val="20"/>
        </w:rPr>
      </w:pPr>
      <w:r w:rsidRPr="00172541">
        <w:rPr>
          <w:rStyle w:val="Heading6Char"/>
          <w:i w:val="0"/>
          <w:iCs w:val="0"/>
          <w:color w:val="000000" w:themeColor="text1"/>
          <w:lang w:val="en-US"/>
        </w:rPr>
        <w:t>201</w:t>
      </w:r>
      <w:r w:rsidR="00FF1400" w:rsidRPr="00172541">
        <w:rPr>
          <w:rStyle w:val="Heading6Char"/>
          <w:i w:val="0"/>
          <w:iCs w:val="0"/>
          <w:color w:val="000000" w:themeColor="text1"/>
          <w:lang w:val="en-US"/>
        </w:rPr>
        <w:t>4</w:t>
      </w:r>
      <w:r w:rsidR="00CD0DE8">
        <w:rPr>
          <w:rStyle w:val="Heading6Char"/>
          <w:i w:val="0"/>
          <w:iCs w:val="0"/>
          <w:color w:val="000000" w:themeColor="text1"/>
          <w:lang w:val="en-US"/>
        </w:rPr>
        <w:t>–</w:t>
      </w:r>
      <w:r w:rsidR="00FF1400" w:rsidRPr="00172541">
        <w:rPr>
          <w:rStyle w:val="Heading6Char"/>
          <w:i w:val="0"/>
          <w:iCs w:val="0"/>
          <w:color w:val="000000" w:themeColor="text1"/>
          <w:lang w:val="en-US"/>
        </w:rPr>
        <w:t>2015</w:t>
      </w:r>
      <w:r w:rsidRPr="00172541">
        <w:rPr>
          <w:rStyle w:val="Heading6Char"/>
          <w:i w:val="0"/>
          <w:iCs w:val="0"/>
          <w:color w:val="000000" w:themeColor="text1"/>
          <w:lang w:val="en-US"/>
        </w:rPr>
        <w:t xml:space="preserve"> - </w:t>
      </w:r>
      <w:proofErr w:type="spellStart"/>
      <w:r w:rsidR="00554E4B" w:rsidRPr="00172541">
        <w:rPr>
          <w:rFonts w:eastAsiaTheme="majorEastAsia" w:cstheme="majorBidi"/>
          <w:szCs w:val="20"/>
        </w:rPr>
        <w:t>TransformUs</w:t>
      </w:r>
      <w:proofErr w:type="spellEnd"/>
      <w:r w:rsidR="00554E4B" w:rsidRPr="00172541">
        <w:rPr>
          <w:rFonts w:eastAsiaTheme="majorEastAsia" w:cstheme="majorBidi"/>
          <w:szCs w:val="20"/>
        </w:rPr>
        <w:t>® delivery adapted &amp; tested for scale-up across Victoria</w:t>
      </w:r>
      <w:r w:rsidR="00381C6A" w:rsidRPr="0092450D">
        <w:rPr>
          <w:rFonts w:eastAsiaTheme="majorEastAsia" w:cstheme="majorBidi"/>
          <w:szCs w:val="20"/>
          <w:vertAlign w:val="superscript"/>
        </w:rPr>
        <w:fldChar w:fldCharType="begin"/>
      </w:r>
      <w:r w:rsidR="00381C6A" w:rsidRPr="0092450D">
        <w:rPr>
          <w:rFonts w:eastAsiaTheme="majorEastAsia" w:cstheme="majorBidi"/>
          <w:szCs w:val="20"/>
          <w:vertAlign w:val="superscript"/>
        </w:rPr>
        <w:instrText xml:space="preserve"> NOTEREF _Ref233283143 \h  \* MERGEFORMAT </w:instrText>
      </w:r>
      <w:r w:rsidR="00381C6A" w:rsidRPr="0092450D">
        <w:rPr>
          <w:rFonts w:eastAsiaTheme="majorEastAsia" w:cstheme="majorBidi"/>
          <w:szCs w:val="20"/>
          <w:vertAlign w:val="superscript"/>
        </w:rPr>
      </w:r>
      <w:r w:rsidR="00381C6A" w:rsidRPr="0092450D">
        <w:rPr>
          <w:rFonts w:eastAsiaTheme="majorEastAsia" w:cstheme="majorBidi"/>
          <w:szCs w:val="20"/>
          <w:vertAlign w:val="superscript"/>
        </w:rPr>
        <w:fldChar w:fldCharType="separate"/>
      </w:r>
      <w:r w:rsidR="00381C6A" w:rsidRPr="0092450D">
        <w:rPr>
          <w:rFonts w:eastAsiaTheme="majorEastAsia" w:cstheme="majorBidi"/>
          <w:szCs w:val="20"/>
          <w:vertAlign w:val="superscript"/>
        </w:rPr>
        <w:t>4</w:t>
      </w:r>
      <w:r w:rsidR="00381C6A" w:rsidRPr="0092450D">
        <w:rPr>
          <w:rFonts w:eastAsiaTheme="majorEastAsia" w:cstheme="majorBidi"/>
          <w:szCs w:val="20"/>
          <w:vertAlign w:val="superscript"/>
        </w:rPr>
        <w:fldChar w:fldCharType="end"/>
      </w:r>
      <w:r w:rsidR="00554E4B" w:rsidRPr="00172541">
        <w:rPr>
          <w:rFonts w:eastAsiaTheme="majorEastAsia" w:cstheme="majorBidi"/>
          <w:szCs w:val="20"/>
          <w:vertAlign w:val="superscript"/>
        </w:rPr>
        <w:t xml:space="preserve"> </w:t>
      </w:r>
      <w:r w:rsidR="00F31819">
        <w:rPr>
          <w:rFonts w:eastAsiaTheme="majorEastAsia" w:cstheme="majorBidi"/>
          <w:szCs w:val="20"/>
        </w:rPr>
        <w:t>and</w:t>
      </w:r>
      <w:r w:rsidR="00554E4B" w:rsidRPr="00172541">
        <w:rPr>
          <w:rFonts w:eastAsiaTheme="majorEastAsia" w:cstheme="majorBidi"/>
          <w:szCs w:val="20"/>
        </w:rPr>
        <w:t xml:space="preserve"> the UK.</w:t>
      </w:r>
      <w:r w:rsidR="00554E4B" w:rsidRPr="00172541">
        <w:rPr>
          <w:rFonts w:eastAsiaTheme="majorEastAsia" w:cstheme="majorBidi"/>
          <w:szCs w:val="20"/>
          <w:vertAlign w:val="superscript"/>
        </w:rPr>
        <w:t xml:space="preserve"> </w:t>
      </w:r>
    </w:p>
    <w:p w14:paraId="0BDC4A0C" w14:textId="07E8F957" w:rsidR="00FD77A8" w:rsidRPr="00172541" w:rsidRDefault="00554E4B" w:rsidP="00F8011D">
      <w:pPr>
        <w:pStyle w:val="ListParagraph"/>
        <w:numPr>
          <w:ilvl w:val="0"/>
          <w:numId w:val="30"/>
        </w:numPr>
        <w:rPr>
          <w:rFonts w:eastAsiaTheme="majorEastAsia" w:cstheme="majorBidi"/>
          <w:szCs w:val="20"/>
        </w:rPr>
      </w:pPr>
      <w:r w:rsidRPr="00172541">
        <w:rPr>
          <w:rFonts w:eastAsiaTheme="majorEastAsia" w:cstheme="majorBidi"/>
          <w:szCs w:val="20"/>
          <w:lang w:val="en-US"/>
        </w:rPr>
        <w:t>2016</w:t>
      </w:r>
      <w:r w:rsidR="00CD0DE8">
        <w:rPr>
          <w:rFonts w:eastAsiaTheme="majorEastAsia" w:cstheme="majorBidi"/>
          <w:szCs w:val="20"/>
          <w:lang w:val="en-US"/>
        </w:rPr>
        <w:t>–</w:t>
      </w:r>
      <w:r w:rsidRPr="00172541">
        <w:rPr>
          <w:rFonts w:eastAsiaTheme="majorEastAsia" w:cstheme="majorBidi"/>
          <w:szCs w:val="20"/>
          <w:lang w:val="en-US"/>
        </w:rPr>
        <w:t xml:space="preserve">2021 - </w:t>
      </w:r>
      <w:r w:rsidR="00D57356" w:rsidRPr="00172541">
        <w:rPr>
          <w:rFonts w:eastAsiaTheme="majorEastAsia" w:cstheme="majorBidi"/>
          <w:szCs w:val="20"/>
        </w:rPr>
        <w:t xml:space="preserve">Engaging with 17 partners </w:t>
      </w:r>
      <w:proofErr w:type="spellStart"/>
      <w:r w:rsidR="00D57356" w:rsidRPr="00172541">
        <w:rPr>
          <w:rFonts w:eastAsiaTheme="majorEastAsia" w:cstheme="majorBidi"/>
          <w:szCs w:val="20"/>
        </w:rPr>
        <w:t>TransformUs</w:t>
      </w:r>
      <w:proofErr w:type="spellEnd"/>
      <w:r w:rsidR="00D57356" w:rsidRPr="00172541">
        <w:rPr>
          <w:rFonts w:eastAsiaTheme="majorEastAsia" w:cstheme="majorBidi"/>
          <w:szCs w:val="20"/>
        </w:rPr>
        <w:t xml:space="preserve">® reached 462 primary schools in Victoria. </w:t>
      </w:r>
    </w:p>
    <w:p w14:paraId="6E53B18F" w14:textId="77777777" w:rsidR="00452258" w:rsidRPr="00420DE9" w:rsidRDefault="00CA188A" w:rsidP="00420DE9">
      <w:pPr>
        <w:pStyle w:val="Heading5"/>
        <w:rPr>
          <w:lang w:val="en-US"/>
        </w:rPr>
      </w:pPr>
      <w:r w:rsidRPr="00420DE9">
        <w:rPr>
          <w:lang w:val="en-US"/>
        </w:rPr>
        <w:t xml:space="preserve">Stakeholders: </w:t>
      </w:r>
    </w:p>
    <w:p w14:paraId="5AA60A81" w14:textId="76B312EB" w:rsidR="00CA188A" w:rsidRPr="00CA188A" w:rsidRDefault="00DA43E7" w:rsidP="007D3706">
      <w:r w:rsidRPr="00DA43E7">
        <w:t>Policymaker/Government Department</w:t>
      </w:r>
      <w:r w:rsidR="00AE4BF3">
        <w:t>;</w:t>
      </w:r>
      <w:r w:rsidRPr="00DA43E7">
        <w:t xml:space="preserve"> Funder</w:t>
      </w:r>
      <w:r w:rsidR="00AE4BF3">
        <w:t>;</w:t>
      </w:r>
      <w:r w:rsidRPr="00DA43E7">
        <w:t xml:space="preserve"> Regulatory body/Statutory body</w:t>
      </w:r>
      <w:r w:rsidR="00AE4BF3">
        <w:t>;</w:t>
      </w:r>
      <w:r w:rsidRPr="00DA43E7">
        <w:t xml:space="preserve"> </w:t>
      </w:r>
      <w:r w:rsidR="00396B82">
        <w:t>Tertiary institute</w:t>
      </w:r>
      <w:r w:rsidR="00AE4BF3">
        <w:t>;</w:t>
      </w:r>
      <w:r w:rsidR="00396B82">
        <w:t xml:space="preserve"> Health service</w:t>
      </w:r>
      <w:r w:rsidR="00AE4BF3">
        <w:t>;</w:t>
      </w:r>
      <w:r w:rsidR="00396B82">
        <w:t xml:space="preserve"> </w:t>
      </w:r>
      <w:r w:rsidR="0046294B">
        <w:t>Researchers</w:t>
      </w:r>
      <w:r w:rsidR="00AE4BF3">
        <w:t>;</w:t>
      </w:r>
      <w:r w:rsidRPr="00DA43E7">
        <w:t xml:space="preserve"> Consumers and community – including sporting organisation and not-for-profit.</w:t>
      </w:r>
    </w:p>
    <w:p w14:paraId="2EEDCF81" w14:textId="77777777" w:rsidR="00CA188A" w:rsidRPr="00420DE9" w:rsidRDefault="00CA188A" w:rsidP="00420DE9">
      <w:pPr>
        <w:pStyle w:val="Heading5"/>
      </w:pPr>
      <w:r w:rsidRPr="00420DE9">
        <w:t>Stages:</w:t>
      </w:r>
    </w:p>
    <w:p w14:paraId="2CF74BA4" w14:textId="4EE9A852" w:rsidR="00172541" w:rsidRPr="00172541" w:rsidRDefault="00172541" w:rsidP="00172541">
      <w:pPr>
        <w:pStyle w:val="ListParagraph"/>
        <w:numPr>
          <w:ilvl w:val="0"/>
          <w:numId w:val="32"/>
        </w:numPr>
        <w:rPr>
          <w:lang w:val="en-US"/>
        </w:rPr>
      </w:pPr>
      <w:r w:rsidRPr="00172541">
        <w:rPr>
          <w:lang w:val="en-US"/>
        </w:rPr>
        <w:t>Effectiveness and implementation trials</w:t>
      </w:r>
      <w:r w:rsidR="00AE4BF3">
        <w:rPr>
          <w:lang w:val="en-US"/>
        </w:rPr>
        <w:t>.</w:t>
      </w:r>
    </w:p>
    <w:p w14:paraId="3E3998D4" w14:textId="2D95572D" w:rsidR="00CA188A" w:rsidRPr="00CA188A" w:rsidRDefault="001F7A6B" w:rsidP="00894D2B">
      <w:pPr>
        <w:pStyle w:val="Heading4"/>
      </w:pPr>
      <w:r>
        <w:t>Horizontal</w:t>
      </w:r>
      <w:r w:rsidR="00F13A2B">
        <w:t xml:space="preserve"> scaling</w:t>
      </w:r>
      <w:r w:rsidR="00CA188A" w:rsidRPr="00CA188A">
        <w:t xml:space="preserve"> (20</w:t>
      </w:r>
      <w:r w:rsidR="00F13A2B">
        <w:t>2</w:t>
      </w:r>
      <w:r w:rsidR="00787A04">
        <w:t>2</w:t>
      </w:r>
      <w:r w:rsidR="00CD0DE8">
        <w:t>–</w:t>
      </w:r>
      <w:r w:rsidR="00787A04">
        <w:t>2024</w:t>
      </w:r>
      <w:r w:rsidR="00CA188A" w:rsidRPr="00CA188A">
        <w:t>)</w:t>
      </w:r>
    </w:p>
    <w:p w14:paraId="2910EEBC" w14:textId="11FBD85D" w:rsidR="00D10373" w:rsidRPr="00D10373" w:rsidRDefault="00D10373" w:rsidP="00D10373">
      <w:proofErr w:type="spellStart"/>
      <w:r w:rsidRPr="00D10373">
        <w:t>TransformUs</w:t>
      </w:r>
      <w:proofErr w:type="spellEnd"/>
      <w:r w:rsidRPr="00D10373">
        <w:t xml:space="preserve">® was adapted to meet the needs of secondary school students (funded by the Victorian Department of Education) and students with additional needs. This involved co-design and ongoing consultation with teachers, school leaders and key partners. Relationships were established with the Departments of Education from all states and territories, as well as the health sector. The testing of this phase of the research was also supported by a NHMRC Investigator Grant. As a result, </w:t>
      </w:r>
      <w:proofErr w:type="spellStart"/>
      <w:r w:rsidRPr="00D10373">
        <w:t>TransformUs</w:t>
      </w:r>
      <w:proofErr w:type="spellEnd"/>
      <w:r w:rsidRPr="00D10373">
        <w:t xml:space="preserve">® was embedded in initial teacher education across five universities, tested in schools in Saudi Arabia, incorporated into Vocational Education Training and included in the Healthy Tasmania Strategic Plan 2022. </w:t>
      </w:r>
    </w:p>
    <w:p w14:paraId="46FEABA9" w14:textId="4563245E" w:rsidR="006C405D" w:rsidRPr="00420DE9" w:rsidRDefault="00D10373" w:rsidP="00420DE9">
      <w:pPr>
        <w:pStyle w:val="Heading5"/>
        <w:rPr>
          <w:lang w:val="en-US"/>
        </w:rPr>
      </w:pPr>
      <w:r w:rsidRPr="00420DE9">
        <w:rPr>
          <w:lang w:val="en-US"/>
        </w:rPr>
        <w:lastRenderedPageBreak/>
        <w:t>T</w:t>
      </w:r>
      <w:r w:rsidR="006C405D" w:rsidRPr="00420DE9">
        <w:rPr>
          <w:lang w:val="en-US"/>
        </w:rPr>
        <w:t xml:space="preserve">ranslation: </w:t>
      </w:r>
    </w:p>
    <w:p w14:paraId="0158FAED" w14:textId="4C78599D" w:rsidR="00123F1C" w:rsidRPr="00E46EA0" w:rsidRDefault="00123F1C" w:rsidP="00E46EA0">
      <w:pPr>
        <w:pStyle w:val="ListParagraph"/>
        <w:numPr>
          <w:ilvl w:val="0"/>
          <w:numId w:val="30"/>
        </w:numPr>
        <w:rPr>
          <w:rStyle w:val="Heading6Char"/>
          <w:i w:val="0"/>
          <w:iCs w:val="0"/>
          <w:color w:val="000000" w:themeColor="text1"/>
          <w:lang w:val="en-US"/>
        </w:rPr>
      </w:pPr>
      <w:r w:rsidRPr="00E46EA0">
        <w:rPr>
          <w:rStyle w:val="Heading6Char"/>
          <w:i w:val="0"/>
          <w:iCs w:val="0"/>
          <w:color w:val="000000" w:themeColor="text1"/>
          <w:lang w:val="en-US"/>
        </w:rPr>
        <w:t>202</w:t>
      </w:r>
      <w:r w:rsidR="00C915AA" w:rsidRPr="00E46EA0">
        <w:rPr>
          <w:rStyle w:val="Heading6Char"/>
          <w:i w:val="0"/>
          <w:iCs w:val="0"/>
          <w:color w:val="000000" w:themeColor="text1"/>
          <w:lang w:val="en-US"/>
        </w:rPr>
        <w:t>2</w:t>
      </w:r>
      <w:r w:rsidR="00CD0DE8">
        <w:rPr>
          <w:rStyle w:val="Heading6Char"/>
          <w:i w:val="0"/>
          <w:iCs w:val="0"/>
          <w:color w:val="000000" w:themeColor="text1"/>
          <w:lang w:val="en-US"/>
        </w:rPr>
        <w:t>–</w:t>
      </w:r>
      <w:r w:rsidR="00C915AA" w:rsidRPr="00E46EA0">
        <w:rPr>
          <w:rStyle w:val="Heading6Char"/>
          <w:i w:val="0"/>
          <w:iCs w:val="0"/>
          <w:color w:val="000000" w:themeColor="text1"/>
          <w:lang w:val="en-US"/>
        </w:rPr>
        <w:t>2024</w:t>
      </w:r>
      <w:r w:rsidRPr="00E46EA0">
        <w:rPr>
          <w:rStyle w:val="Heading6Char"/>
          <w:i w:val="0"/>
          <w:iCs w:val="0"/>
          <w:color w:val="000000" w:themeColor="text1"/>
          <w:lang w:val="en-US"/>
        </w:rPr>
        <w:t xml:space="preserve"> - </w:t>
      </w:r>
      <w:r w:rsidR="0028692D">
        <w:rPr>
          <w:rFonts w:eastAsiaTheme="majorEastAsia" w:cstheme="majorBidi"/>
          <w:szCs w:val="20"/>
          <w:lang w:val="en-US"/>
        </w:rPr>
        <w:t>A</w:t>
      </w:r>
      <w:r w:rsidR="00C915AA" w:rsidRPr="00E46EA0">
        <w:rPr>
          <w:rFonts w:eastAsiaTheme="majorEastAsia" w:cstheme="majorBidi"/>
          <w:szCs w:val="20"/>
          <w:lang w:val="en-US"/>
        </w:rPr>
        <w:t xml:space="preserve">dapted to </w:t>
      </w:r>
      <w:r w:rsidR="0028692D">
        <w:rPr>
          <w:rFonts w:eastAsiaTheme="majorEastAsia" w:cstheme="majorBidi"/>
          <w:szCs w:val="20"/>
          <w:lang w:val="en-US"/>
        </w:rPr>
        <w:t>s</w:t>
      </w:r>
      <w:r w:rsidR="00C915AA" w:rsidRPr="00E46EA0">
        <w:rPr>
          <w:rFonts w:eastAsiaTheme="majorEastAsia" w:cstheme="majorBidi"/>
          <w:szCs w:val="20"/>
          <w:lang w:val="en-US"/>
        </w:rPr>
        <w:t xml:space="preserve">econdary schools &amp; </w:t>
      </w:r>
      <w:r w:rsidR="0028692D">
        <w:rPr>
          <w:rFonts w:eastAsiaTheme="majorEastAsia" w:cstheme="majorBidi"/>
          <w:szCs w:val="20"/>
          <w:lang w:val="en-US"/>
        </w:rPr>
        <w:t>s</w:t>
      </w:r>
      <w:r w:rsidR="00C915AA" w:rsidRPr="00E46EA0">
        <w:rPr>
          <w:rFonts w:eastAsiaTheme="majorEastAsia" w:cstheme="majorBidi"/>
          <w:szCs w:val="20"/>
          <w:lang w:val="en-US"/>
        </w:rPr>
        <w:t xml:space="preserve">pecial </w:t>
      </w:r>
      <w:r w:rsidR="0028692D">
        <w:rPr>
          <w:rFonts w:eastAsiaTheme="majorEastAsia" w:cstheme="majorBidi"/>
          <w:szCs w:val="20"/>
          <w:lang w:val="en-US"/>
        </w:rPr>
        <w:t>s</w:t>
      </w:r>
      <w:r w:rsidR="00C915AA" w:rsidRPr="00E46EA0">
        <w:rPr>
          <w:rFonts w:eastAsiaTheme="majorEastAsia" w:cstheme="majorBidi"/>
          <w:szCs w:val="20"/>
          <w:lang w:val="en-US"/>
        </w:rPr>
        <w:t xml:space="preserve">chools. Tested in schools in Saudi Arabia. Incorporated into Vocational Education Training. Included in Healthy Tasmania Strategic Plan 2022.  </w:t>
      </w:r>
    </w:p>
    <w:p w14:paraId="24A17B3C" w14:textId="77777777" w:rsidR="00BA4D6A" w:rsidRPr="00420DE9" w:rsidRDefault="00CA188A" w:rsidP="00420DE9">
      <w:pPr>
        <w:pStyle w:val="Heading5"/>
        <w:rPr>
          <w:lang w:val="en-US"/>
        </w:rPr>
      </w:pPr>
      <w:r w:rsidRPr="00420DE9">
        <w:rPr>
          <w:lang w:val="en-US"/>
        </w:rPr>
        <w:t xml:space="preserve">Stakeholders: </w:t>
      </w:r>
    </w:p>
    <w:p w14:paraId="3E9F6CBC" w14:textId="23893C8B" w:rsidR="00CA188A" w:rsidRPr="00123F1C" w:rsidRDefault="00CB4495" w:rsidP="00E46EA0">
      <w:pPr>
        <w:rPr>
          <w:rFonts w:eastAsiaTheme="majorEastAsia" w:cstheme="majorBidi"/>
          <w:color w:val="09002E" w:themeColor="text2"/>
          <w:szCs w:val="20"/>
          <w:lang w:val="en-US"/>
        </w:rPr>
      </w:pPr>
      <w:r w:rsidRPr="00CB4495">
        <w:t>Policymaker/Government Department</w:t>
      </w:r>
      <w:r w:rsidR="00AE4BF3">
        <w:t>;</w:t>
      </w:r>
      <w:r w:rsidRPr="00CB4495">
        <w:t xml:space="preserve"> Funder</w:t>
      </w:r>
      <w:r w:rsidR="00AE4BF3">
        <w:t>;</w:t>
      </w:r>
      <w:r w:rsidRPr="00CB4495">
        <w:t xml:space="preserve"> Regulatory body/Statutory body</w:t>
      </w:r>
      <w:r w:rsidR="00AE4BF3">
        <w:t>;</w:t>
      </w:r>
      <w:r w:rsidRPr="00CB4495">
        <w:t xml:space="preserve"> Tertiary institute</w:t>
      </w:r>
      <w:r w:rsidR="00AE4BF3">
        <w:t>;</w:t>
      </w:r>
      <w:r w:rsidRPr="00CB4495">
        <w:t xml:space="preserve"> </w:t>
      </w:r>
      <w:r w:rsidR="000D5E33">
        <w:t>Researcher</w:t>
      </w:r>
      <w:r w:rsidR="0046294B">
        <w:t>s</w:t>
      </w:r>
      <w:r w:rsidR="00AE4BF3">
        <w:t>;</w:t>
      </w:r>
      <w:r w:rsidRPr="00CB4495">
        <w:t xml:space="preserve"> Consumers and community – including sporting organisation and not-for-profit.</w:t>
      </w:r>
    </w:p>
    <w:p w14:paraId="051B38D9" w14:textId="77777777" w:rsidR="00CA188A" w:rsidRPr="00420DE9" w:rsidRDefault="00CA188A" w:rsidP="00420DE9">
      <w:pPr>
        <w:pStyle w:val="Heading5"/>
      </w:pPr>
      <w:r w:rsidRPr="00420DE9">
        <w:t>Stages:</w:t>
      </w:r>
    </w:p>
    <w:p w14:paraId="21BBFFDA" w14:textId="74EB41CE" w:rsidR="00247FF7" w:rsidRPr="005412A4" w:rsidRDefault="0005132B" w:rsidP="00247FF7">
      <w:pPr>
        <w:pStyle w:val="ListParagraph"/>
        <w:numPr>
          <w:ilvl w:val="0"/>
          <w:numId w:val="32"/>
        </w:numPr>
      </w:pPr>
      <w:r w:rsidRPr="005412A4">
        <w:t>Implementation, adaption and scaling in new settings</w:t>
      </w:r>
      <w:r w:rsidR="00AE4BF3">
        <w:t>.</w:t>
      </w:r>
    </w:p>
    <w:p w14:paraId="2B63473A" w14:textId="52A20191" w:rsidR="00247FF7" w:rsidRPr="00CA188A" w:rsidRDefault="00247FF7" w:rsidP="00247FF7">
      <w:pPr>
        <w:pStyle w:val="Heading4"/>
      </w:pPr>
      <w:r>
        <w:t>Sustainment</w:t>
      </w:r>
      <w:r w:rsidRPr="00CA188A">
        <w:t xml:space="preserve"> (20</w:t>
      </w:r>
      <w:r>
        <w:t>25</w:t>
      </w:r>
      <w:r w:rsidR="00827A7A">
        <w:t>–</w:t>
      </w:r>
      <w:r w:rsidR="009120F2">
        <w:t>onwards</w:t>
      </w:r>
      <w:r w:rsidRPr="00CA188A">
        <w:t>)</w:t>
      </w:r>
    </w:p>
    <w:p w14:paraId="56765CE0" w14:textId="22611D16" w:rsidR="005205D6" w:rsidRPr="005205D6" w:rsidRDefault="005205D6" w:rsidP="00365B82">
      <w:hyperlink r:id="rId12" w:history="1">
        <w:proofErr w:type="spellStart"/>
        <w:r w:rsidRPr="00C168B3">
          <w:rPr>
            <w:rStyle w:val="Hyperlink"/>
          </w:rPr>
          <w:t>TransformUs</w:t>
        </w:r>
        <w:proofErr w:type="spellEnd"/>
        <w:r w:rsidRPr="00C168B3">
          <w:rPr>
            <w:rStyle w:val="Hyperlink"/>
          </w:rPr>
          <w:t>®</w:t>
        </w:r>
      </w:hyperlink>
      <w:r w:rsidRPr="005205D6">
        <w:t xml:space="preserve"> continues to </w:t>
      </w:r>
      <w:r w:rsidR="00207FBE">
        <w:t>reach more</w:t>
      </w:r>
      <w:r w:rsidRPr="005205D6">
        <w:t xml:space="preserve"> school</w:t>
      </w:r>
      <w:r w:rsidR="00207FBE">
        <w:t>s and students</w:t>
      </w:r>
      <w:r w:rsidRPr="005205D6">
        <w:t xml:space="preserve"> </w:t>
      </w:r>
      <w:r w:rsidR="00207FBE">
        <w:t>across</w:t>
      </w:r>
      <w:r w:rsidRPr="005205D6">
        <w:t xml:space="preserve"> Australia. The program is embedded in undergraduate and postgraduate teaching degrees at </w:t>
      </w:r>
      <w:proofErr w:type="gramStart"/>
      <w:r w:rsidR="001E2606">
        <w:t>a number of</w:t>
      </w:r>
      <w:proofErr w:type="gramEnd"/>
      <w:r w:rsidRPr="005205D6">
        <w:t xml:space="preserve"> Australian universities</w:t>
      </w:r>
      <w:bookmarkStart w:id="3" w:name="_Ref233283283"/>
      <w:r w:rsidR="006A5868">
        <w:rPr>
          <w:rStyle w:val="EndnoteReference"/>
        </w:rPr>
        <w:endnoteReference w:id="5"/>
      </w:r>
      <w:bookmarkEnd w:id="3"/>
      <w:r w:rsidRPr="005205D6">
        <w:t xml:space="preserve"> and </w:t>
      </w:r>
      <w:r w:rsidR="00946B64">
        <w:t>is</w:t>
      </w:r>
      <w:r w:rsidRPr="005205D6">
        <w:t xml:space="preserve"> </w:t>
      </w:r>
      <w:r w:rsidR="00EB1F41">
        <w:t xml:space="preserve">currently </w:t>
      </w:r>
      <w:r w:rsidRPr="005205D6">
        <w:t>being adapted in Singapore. It was recently included as an Organisation for Economic Co-operation and Development (OECD) case study</w:t>
      </w:r>
      <w:r w:rsidRPr="00040766">
        <w:t>.</w:t>
      </w:r>
      <w:bookmarkStart w:id="4" w:name="_Ref233283298"/>
      <w:r w:rsidR="00040766">
        <w:rPr>
          <w:rStyle w:val="EndnoteReference"/>
        </w:rPr>
        <w:endnoteReference w:id="6"/>
      </w:r>
      <w:bookmarkEnd w:id="4"/>
      <w:r w:rsidRPr="005205D6">
        <w:t xml:space="preserve"> The program assists governments to meet health and education priorities and can continue to inform health and education policies. </w:t>
      </w:r>
      <w:r w:rsidR="00956F11">
        <w:t>The ongoing</w:t>
      </w:r>
      <w:r w:rsidRPr="005205D6">
        <w:t xml:space="preserve"> challenge </w:t>
      </w:r>
      <w:r w:rsidR="00956F11">
        <w:t>is to</w:t>
      </w:r>
      <w:r w:rsidR="001137B1">
        <w:t xml:space="preserve"> secure </w:t>
      </w:r>
      <w:r w:rsidRPr="005205D6">
        <w:t xml:space="preserve">sustainable funding to </w:t>
      </w:r>
      <w:r w:rsidR="00FF6416">
        <w:t xml:space="preserve">support </w:t>
      </w:r>
      <w:r w:rsidRPr="005205D6">
        <w:t xml:space="preserve">continuation of the initiative. Professor Salmon is a current recipient of a NHMRC Investigator Grant to examine the challenges and opportunities of sustainment and equity of child health initiatives at scale. </w:t>
      </w:r>
    </w:p>
    <w:p w14:paraId="75A98DAE" w14:textId="77777777" w:rsidR="00247FF7" w:rsidRPr="00420DE9" w:rsidRDefault="00247FF7" w:rsidP="00420DE9">
      <w:pPr>
        <w:pStyle w:val="Heading5"/>
        <w:rPr>
          <w:lang w:val="en-US"/>
        </w:rPr>
      </w:pPr>
      <w:r w:rsidRPr="00420DE9">
        <w:rPr>
          <w:lang w:val="en-US"/>
        </w:rPr>
        <w:t xml:space="preserve">Translation: </w:t>
      </w:r>
    </w:p>
    <w:p w14:paraId="04AD52B6" w14:textId="6762E255" w:rsidR="00247FF7" w:rsidRPr="00E46EA0" w:rsidRDefault="00247FF7" w:rsidP="00BA4D6A">
      <w:pPr>
        <w:pStyle w:val="ListParagraph"/>
        <w:numPr>
          <w:ilvl w:val="0"/>
          <w:numId w:val="30"/>
        </w:numPr>
        <w:rPr>
          <w:rStyle w:val="Heading6Char"/>
          <w:i w:val="0"/>
          <w:iCs w:val="0"/>
          <w:color w:val="000000" w:themeColor="text1"/>
        </w:rPr>
      </w:pPr>
      <w:r w:rsidRPr="00E46EA0">
        <w:rPr>
          <w:rStyle w:val="Heading6Char"/>
          <w:i w:val="0"/>
          <w:iCs w:val="0"/>
          <w:color w:val="000000" w:themeColor="text1"/>
          <w:lang w:val="en-US"/>
        </w:rPr>
        <w:t>202</w:t>
      </w:r>
      <w:r w:rsidR="00BA4D6A" w:rsidRPr="00E46EA0">
        <w:rPr>
          <w:rStyle w:val="Heading6Char"/>
          <w:i w:val="0"/>
          <w:iCs w:val="0"/>
          <w:color w:val="000000" w:themeColor="text1"/>
          <w:lang w:val="en-US"/>
        </w:rPr>
        <w:t>5</w:t>
      </w:r>
      <w:r w:rsidR="00827A7A">
        <w:rPr>
          <w:rStyle w:val="Heading6Char"/>
          <w:i w:val="0"/>
          <w:iCs w:val="0"/>
          <w:color w:val="000000" w:themeColor="text1"/>
          <w:lang w:val="en-US"/>
        </w:rPr>
        <w:t>–</w:t>
      </w:r>
      <w:r w:rsidR="009120F2">
        <w:rPr>
          <w:rStyle w:val="Heading6Char"/>
          <w:i w:val="0"/>
          <w:iCs w:val="0"/>
          <w:color w:val="000000" w:themeColor="text1"/>
          <w:lang w:val="en-US"/>
        </w:rPr>
        <w:t>onwards</w:t>
      </w:r>
      <w:r w:rsidRPr="00E46EA0">
        <w:rPr>
          <w:rStyle w:val="Heading6Char"/>
          <w:i w:val="0"/>
          <w:iCs w:val="0"/>
          <w:color w:val="000000" w:themeColor="text1"/>
          <w:lang w:val="en-US"/>
        </w:rPr>
        <w:t xml:space="preserve"> - </w:t>
      </w:r>
      <w:r w:rsidR="00BA4D6A" w:rsidRPr="00E46EA0">
        <w:rPr>
          <w:rFonts w:eastAsiaTheme="majorEastAsia" w:cstheme="majorBidi"/>
          <w:szCs w:val="20"/>
        </w:rPr>
        <w:t>Reaching ~980 schools nationally. Embedded in undergraduate and postgraduate teaching degrees at 8 universities.</w:t>
      </w:r>
      <w:r w:rsidR="007941AE" w:rsidRPr="00E46EA0">
        <w:rPr>
          <w:rFonts w:eastAsiaTheme="majorEastAsia" w:cstheme="majorBidi"/>
          <w:szCs w:val="20"/>
          <w:vertAlign w:val="superscript"/>
        </w:rPr>
        <w:fldChar w:fldCharType="begin"/>
      </w:r>
      <w:r w:rsidR="007941AE" w:rsidRPr="00E46EA0">
        <w:rPr>
          <w:rFonts w:eastAsiaTheme="majorEastAsia" w:cstheme="majorBidi"/>
          <w:szCs w:val="20"/>
          <w:vertAlign w:val="superscript"/>
        </w:rPr>
        <w:instrText xml:space="preserve"> NOTEREF _Ref233283283 \h  \* MERGEFORMAT </w:instrText>
      </w:r>
      <w:r w:rsidR="007941AE" w:rsidRPr="00E46EA0">
        <w:rPr>
          <w:rFonts w:eastAsiaTheme="majorEastAsia" w:cstheme="majorBidi"/>
          <w:szCs w:val="20"/>
          <w:vertAlign w:val="superscript"/>
        </w:rPr>
      </w:r>
      <w:r w:rsidR="007941AE" w:rsidRPr="00E46EA0">
        <w:rPr>
          <w:rFonts w:eastAsiaTheme="majorEastAsia" w:cstheme="majorBidi"/>
          <w:szCs w:val="20"/>
          <w:vertAlign w:val="superscript"/>
        </w:rPr>
        <w:fldChar w:fldCharType="separate"/>
      </w:r>
      <w:r w:rsidR="007941AE" w:rsidRPr="00E46EA0">
        <w:rPr>
          <w:rFonts w:eastAsiaTheme="majorEastAsia" w:cstheme="majorBidi"/>
          <w:szCs w:val="20"/>
          <w:vertAlign w:val="superscript"/>
        </w:rPr>
        <w:t>5</w:t>
      </w:r>
      <w:r w:rsidR="007941AE" w:rsidRPr="00E46EA0">
        <w:rPr>
          <w:rFonts w:eastAsiaTheme="majorEastAsia" w:cstheme="majorBidi"/>
          <w:szCs w:val="20"/>
          <w:vertAlign w:val="superscript"/>
        </w:rPr>
        <w:fldChar w:fldCharType="end"/>
      </w:r>
      <w:r w:rsidR="00BA4D6A" w:rsidRPr="00E46EA0">
        <w:rPr>
          <w:rFonts w:eastAsiaTheme="majorEastAsia" w:cstheme="majorBidi"/>
          <w:szCs w:val="20"/>
        </w:rPr>
        <w:t xml:space="preserve"> Currently being embedded in Singapore teacher education. Included in OECD case study.</w:t>
      </w:r>
      <w:r w:rsidR="007941AE" w:rsidRPr="00E46EA0">
        <w:rPr>
          <w:rFonts w:eastAsiaTheme="majorEastAsia" w:cstheme="majorBidi"/>
          <w:szCs w:val="20"/>
          <w:vertAlign w:val="superscript"/>
        </w:rPr>
        <w:fldChar w:fldCharType="begin"/>
      </w:r>
      <w:r w:rsidR="007941AE" w:rsidRPr="00E46EA0">
        <w:rPr>
          <w:rFonts w:eastAsiaTheme="majorEastAsia" w:cstheme="majorBidi"/>
          <w:szCs w:val="20"/>
          <w:vertAlign w:val="superscript"/>
        </w:rPr>
        <w:instrText xml:space="preserve"> NOTEREF _Ref233283298 \h  \* MERGEFORMAT </w:instrText>
      </w:r>
      <w:r w:rsidR="007941AE" w:rsidRPr="00E46EA0">
        <w:rPr>
          <w:rFonts w:eastAsiaTheme="majorEastAsia" w:cstheme="majorBidi"/>
          <w:szCs w:val="20"/>
          <w:vertAlign w:val="superscript"/>
        </w:rPr>
      </w:r>
      <w:r w:rsidR="007941AE" w:rsidRPr="00E46EA0">
        <w:rPr>
          <w:rFonts w:eastAsiaTheme="majorEastAsia" w:cstheme="majorBidi"/>
          <w:szCs w:val="20"/>
          <w:vertAlign w:val="superscript"/>
        </w:rPr>
        <w:fldChar w:fldCharType="separate"/>
      </w:r>
      <w:r w:rsidR="007941AE" w:rsidRPr="00E46EA0">
        <w:rPr>
          <w:rFonts w:eastAsiaTheme="majorEastAsia" w:cstheme="majorBidi"/>
          <w:szCs w:val="20"/>
          <w:vertAlign w:val="superscript"/>
        </w:rPr>
        <w:t>6</w:t>
      </w:r>
      <w:r w:rsidR="007941AE" w:rsidRPr="00E46EA0">
        <w:rPr>
          <w:rFonts w:eastAsiaTheme="majorEastAsia" w:cstheme="majorBidi"/>
          <w:szCs w:val="20"/>
          <w:vertAlign w:val="superscript"/>
        </w:rPr>
        <w:fldChar w:fldCharType="end"/>
      </w:r>
    </w:p>
    <w:p w14:paraId="766D790D" w14:textId="77777777" w:rsidR="00994071" w:rsidRPr="00420DE9" w:rsidRDefault="00247FF7" w:rsidP="00420DE9">
      <w:pPr>
        <w:pStyle w:val="Heading5"/>
        <w:rPr>
          <w:lang w:val="en-US"/>
        </w:rPr>
      </w:pPr>
      <w:r w:rsidRPr="00420DE9">
        <w:rPr>
          <w:lang w:val="en-US"/>
        </w:rPr>
        <w:t xml:space="preserve">Stakeholders: </w:t>
      </w:r>
    </w:p>
    <w:p w14:paraId="084AC565" w14:textId="251B15CF" w:rsidR="00247FF7" w:rsidRPr="00123F1C" w:rsidRDefault="00247FF7" w:rsidP="00E46EA0">
      <w:pPr>
        <w:rPr>
          <w:rFonts w:eastAsiaTheme="majorEastAsia" w:cstheme="majorBidi"/>
          <w:color w:val="09002E" w:themeColor="text2"/>
          <w:szCs w:val="20"/>
          <w:lang w:val="en-US"/>
        </w:rPr>
      </w:pPr>
      <w:r w:rsidRPr="00CB4495">
        <w:t>Policymaker/Government Department</w:t>
      </w:r>
      <w:r w:rsidR="007D5378">
        <w:t>;</w:t>
      </w:r>
      <w:r w:rsidRPr="00CB4495">
        <w:t xml:space="preserve"> Funder</w:t>
      </w:r>
      <w:r w:rsidR="007D5378">
        <w:t>;</w:t>
      </w:r>
      <w:r w:rsidRPr="00CB4495">
        <w:t xml:space="preserve"> Regulatory body/Statutory body</w:t>
      </w:r>
      <w:r w:rsidR="007D5378">
        <w:t>;</w:t>
      </w:r>
      <w:r w:rsidRPr="00CB4495">
        <w:t xml:space="preserve"> Tertiary institute</w:t>
      </w:r>
      <w:r w:rsidR="007D5378">
        <w:t>;</w:t>
      </w:r>
      <w:r w:rsidRPr="00CB4495">
        <w:t xml:space="preserve"> </w:t>
      </w:r>
      <w:r w:rsidR="0046294B">
        <w:t>Researchers</w:t>
      </w:r>
      <w:r w:rsidR="007D5378">
        <w:t>;</w:t>
      </w:r>
      <w:r w:rsidRPr="00CB4495">
        <w:t xml:space="preserve"> Consumers and community – including sporting organisation and not-for-profit.</w:t>
      </w:r>
    </w:p>
    <w:p w14:paraId="37836CCA" w14:textId="77777777" w:rsidR="00247FF7" w:rsidRPr="00420DE9" w:rsidRDefault="00247FF7" w:rsidP="00420DE9">
      <w:pPr>
        <w:pStyle w:val="Heading5"/>
      </w:pPr>
      <w:r w:rsidRPr="00420DE9">
        <w:t>Stages:</w:t>
      </w:r>
    </w:p>
    <w:p w14:paraId="15BDBF5E" w14:textId="1B206943" w:rsidR="00247FF7" w:rsidRPr="002F1306" w:rsidRDefault="00BA4D6A" w:rsidP="00247FF7">
      <w:pPr>
        <w:pStyle w:val="ListParagraph"/>
        <w:numPr>
          <w:ilvl w:val="0"/>
          <w:numId w:val="32"/>
        </w:numPr>
      </w:pPr>
      <w:r w:rsidRPr="00BA4D6A">
        <w:t>Sustainment at scale</w:t>
      </w:r>
      <w:r w:rsidR="007D5378">
        <w:t>.</w:t>
      </w:r>
    </w:p>
    <w:p w14:paraId="151106EA" w14:textId="226A2098" w:rsidR="00CA188A" w:rsidRPr="00CA188A" w:rsidRDefault="00CA188A" w:rsidP="00894D2B">
      <w:pPr>
        <w:pStyle w:val="Heading4"/>
      </w:pPr>
      <w:r w:rsidRPr="00CA188A">
        <w:t>I</w:t>
      </w:r>
      <w:r w:rsidR="00894D2B">
        <w:t>mpact</w:t>
      </w:r>
      <w:r w:rsidRPr="00CA188A">
        <w:t xml:space="preserve"> </w:t>
      </w:r>
    </w:p>
    <w:p w14:paraId="572DA5DA" w14:textId="4FD3DB31" w:rsidR="00994071" w:rsidRPr="00994071" w:rsidRDefault="00994071" w:rsidP="00F8011D">
      <w:r w:rsidRPr="00994071">
        <w:t xml:space="preserve">In 2026, </w:t>
      </w:r>
      <w:proofErr w:type="spellStart"/>
      <w:r w:rsidRPr="00994071">
        <w:t>TransformUs</w:t>
      </w:r>
      <w:proofErr w:type="spellEnd"/>
      <w:r w:rsidRPr="00994071">
        <w:t xml:space="preserve">® is reaching </w:t>
      </w:r>
      <w:r w:rsidR="00CB7F1B">
        <w:t>~</w:t>
      </w:r>
      <w:r w:rsidRPr="00994071">
        <w:t xml:space="preserve">980 schools, 2,680 teachers and 67,000 students nationally. Through </w:t>
      </w:r>
      <w:proofErr w:type="spellStart"/>
      <w:r w:rsidRPr="00994071">
        <w:t>TransformUs</w:t>
      </w:r>
      <w:proofErr w:type="spellEnd"/>
      <w:r w:rsidRPr="00994071">
        <w:t xml:space="preserve">® Higher Education, </w:t>
      </w:r>
      <w:r w:rsidR="00CB7F1B">
        <w:t>&gt;</w:t>
      </w:r>
      <w:r w:rsidRPr="00994071">
        <w:t xml:space="preserve">2000 pre-service teachers have been engaged across eight Australian universities. Over 17 years, </w:t>
      </w:r>
      <w:proofErr w:type="spellStart"/>
      <w:r w:rsidRPr="00994071">
        <w:t>TransformUs</w:t>
      </w:r>
      <w:proofErr w:type="spellEnd"/>
      <w:r w:rsidRPr="00994071">
        <w:t xml:space="preserve">® has demonstrated consistent, measurable impact, </w:t>
      </w:r>
      <w:r w:rsidR="006409FD" w:rsidRPr="00994071">
        <w:t>contributi</w:t>
      </w:r>
      <w:r w:rsidR="006409FD">
        <w:t>ng</w:t>
      </w:r>
      <w:r w:rsidR="006409FD" w:rsidRPr="00994071">
        <w:t xml:space="preserve"> </w:t>
      </w:r>
      <w:r w:rsidRPr="00994071">
        <w:t xml:space="preserve">to schools, communities, and policy frameworks nationwide. The program improved children’s health and activity levels. Children who participated spent more than one hour less being sedentary and 5 minutes more active each day. Compared with </w:t>
      </w:r>
      <w:r w:rsidR="005543F8">
        <w:t>non-participants</w:t>
      </w:r>
      <w:r w:rsidRPr="00994071">
        <w:t xml:space="preserve">, </w:t>
      </w:r>
      <w:r w:rsidR="0016044B">
        <w:t>they</w:t>
      </w:r>
      <w:r w:rsidR="0016044B" w:rsidRPr="00994071">
        <w:t xml:space="preserve"> </w:t>
      </w:r>
      <w:r w:rsidRPr="00994071">
        <w:t xml:space="preserve">had a lower Body Mass Index z-score and a smaller waist circumference. Engagement with partners and end-users is integral </w:t>
      </w:r>
      <w:proofErr w:type="spellStart"/>
      <w:r w:rsidRPr="00994071">
        <w:t>tolong</w:t>
      </w:r>
      <w:proofErr w:type="spellEnd"/>
      <w:r w:rsidRPr="00994071">
        <w:t xml:space="preserve">-term success. </w:t>
      </w:r>
      <w:proofErr w:type="spellStart"/>
      <w:r w:rsidRPr="00994071">
        <w:t>TransformUs</w:t>
      </w:r>
      <w:proofErr w:type="spellEnd"/>
      <w:r w:rsidRPr="00994071">
        <w:t xml:space="preserve">® received the Council of Academic Public Health Institutions 2020 Award for Excellence and Innovation in Public Health </w:t>
      </w:r>
      <w:r w:rsidRPr="00994071">
        <w:lastRenderedPageBreak/>
        <w:t>Team Research, and the Outstanding Engagement for Research Impact award at the 2025 Engagement Australia Excellence Awards.</w:t>
      </w:r>
    </w:p>
    <w:p w14:paraId="70130134" w14:textId="77777777" w:rsidR="00994071" w:rsidRPr="002619AA" w:rsidRDefault="00CA188A" w:rsidP="002619AA">
      <w:pPr>
        <w:pStyle w:val="Heading5"/>
      </w:pPr>
      <w:r w:rsidRPr="002619AA">
        <w:t xml:space="preserve">Stakeholders: </w:t>
      </w:r>
    </w:p>
    <w:p w14:paraId="2B291EE3" w14:textId="1FF23F88" w:rsidR="00CA188A" w:rsidRPr="00CA188A" w:rsidRDefault="00994071" w:rsidP="00CA188A">
      <w:pPr>
        <w:jc w:val="both"/>
      </w:pPr>
      <w:r w:rsidRPr="00994071">
        <w:rPr>
          <w:lang w:val="en-US"/>
        </w:rPr>
        <w:t>Policymaker/Government Department</w:t>
      </w:r>
      <w:r w:rsidR="007D5378">
        <w:rPr>
          <w:lang w:val="en-US"/>
        </w:rPr>
        <w:t>;</w:t>
      </w:r>
      <w:r w:rsidRPr="00994071">
        <w:rPr>
          <w:lang w:val="en-US"/>
        </w:rPr>
        <w:t xml:space="preserve"> Funder</w:t>
      </w:r>
      <w:r w:rsidR="007D5378">
        <w:rPr>
          <w:lang w:val="en-US"/>
        </w:rPr>
        <w:t>;</w:t>
      </w:r>
      <w:r w:rsidRPr="00994071">
        <w:rPr>
          <w:lang w:val="en-US"/>
        </w:rPr>
        <w:t xml:space="preserve"> Regulatory body/Statutory body Tertiary institute</w:t>
      </w:r>
      <w:r w:rsidR="007D5378">
        <w:rPr>
          <w:lang w:val="en-US"/>
        </w:rPr>
        <w:t>;</w:t>
      </w:r>
      <w:r w:rsidRPr="00994071">
        <w:rPr>
          <w:lang w:val="en-US"/>
        </w:rPr>
        <w:t xml:space="preserve"> </w:t>
      </w:r>
      <w:r w:rsidR="0046294B">
        <w:rPr>
          <w:lang w:val="en-US"/>
        </w:rPr>
        <w:t>Researchers</w:t>
      </w:r>
      <w:r w:rsidR="007D5378">
        <w:rPr>
          <w:lang w:val="en-US"/>
        </w:rPr>
        <w:t>;</w:t>
      </w:r>
      <w:r w:rsidRPr="00994071">
        <w:rPr>
          <w:lang w:val="en-US"/>
        </w:rPr>
        <w:t xml:space="preserve"> Consumers and community – including sporting </w:t>
      </w:r>
      <w:proofErr w:type="spellStart"/>
      <w:r w:rsidRPr="00994071">
        <w:rPr>
          <w:lang w:val="en-US"/>
        </w:rPr>
        <w:t>organisation</w:t>
      </w:r>
      <w:proofErr w:type="spellEnd"/>
      <w:r w:rsidRPr="00994071">
        <w:rPr>
          <w:lang w:val="en-US"/>
        </w:rPr>
        <w:t xml:space="preserve"> and not-for-profit</w:t>
      </w:r>
      <w:r w:rsidR="00CA188A" w:rsidRPr="00CA188A">
        <w:t>.</w:t>
      </w:r>
    </w:p>
    <w:p w14:paraId="3E3512D4" w14:textId="77777777" w:rsidR="00950D92" w:rsidRPr="0022668B" w:rsidRDefault="00950D92" w:rsidP="008300FA"/>
    <w:sectPr w:rsidR="00950D92" w:rsidRPr="0022668B" w:rsidSect="002308EE">
      <w:headerReference w:type="default" r:id="rId13"/>
      <w:footerReference w:type="default" r:id="rId14"/>
      <w:headerReference w:type="first" r:id="rId15"/>
      <w:footerReference w:type="first" r:id="rId16"/>
      <w:endnotePr>
        <w:numFmt w:val="decimal"/>
      </w:endnotePr>
      <w:pgSz w:w="11906" w:h="16838" w:code="9"/>
      <w:pgMar w:top="1814" w:right="1134" w:bottom="1565"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8684" w14:textId="77777777" w:rsidR="00E50C50" w:rsidRDefault="00E50C50">
      <w:pPr>
        <w:spacing w:before="0" w:after="0" w:line="240" w:lineRule="auto"/>
      </w:pPr>
      <w:r>
        <w:separator/>
      </w:r>
    </w:p>
  </w:endnote>
  <w:endnote w:type="continuationSeparator" w:id="0">
    <w:p w14:paraId="5131A5C2" w14:textId="77777777" w:rsidR="00E50C50" w:rsidRDefault="00E50C50">
      <w:pPr>
        <w:spacing w:before="0" w:after="0" w:line="240" w:lineRule="auto"/>
      </w:pPr>
      <w:r>
        <w:continuationSeparator/>
      </w:r>
    </w:p>
  </w:endnote>
  <w:endnote w:id="1">
    <w:p w14:paraId="3526A570" w14:textId="7D55AA75" w:rsidR="006C1156" w:rsidRPr="002619AA" w:rsidRDefault="00F66686" w:rsidP="00590113">
      <w:pPr>
        <w:spacing w:before="0" w:after="0" w:line="240" w:lineRule="auto"/>
        <w:contextualSpacing/>
        <w:rPr>
          <w:rFonts w:eastAsia="Times New Roman" w:cs="Calibri"/>
          <w:color w:val="000000"/>
          <w:kern w:val="24"/>
          <w:lang w:eastAsia="zh-CN"/>
        </w:rPr>
      </w:pPr>
      <w:r w:rsidRPr="002619AA">
        <w:rPr>
          <w:rStyle w:val="EndnoteReference"/>
        </w:rPr>
        <w:endnoteRef/>
      </w:r>
      <w:r w:rsidRPr="002619AA">
        <w:t xml:space="preserve"> </w:t>
      </w:r>
      <w:r w:rsidR="006C1156" w:rsidRPr="002619AA">
        <w:rPr>
          <w:rFonts w:eastAsia="ArialUnicodeMS" w:cs="Calibri"/>
          <w:color w:val="000000"/>
          <w:kern w:val="24"/>
          <w:lang w:eastAsia="zh-CN"/>
        </w:rPr>
        <w:t xml:space="preserve">Salmon J </w:t>
      </w:r>
      <w:r w:rsidR="006C1156" w:rsidRPr="002619AA">
        <w:rPr>
          <w:rFonts w:eastAsia="ArialUnicodeMS" w:cs="Calibri"/>
          <w:i/>
          <w:iCs/>
          <w:color w:val="000000"/>
          <w:kern w:val="24"/>
          <w:lang w:eastAsia="zh-CN"/>
        </w:rPr>
        <w:t>et al</w:t>
      </w:r>
      <w:r w:rsidR="006C1156" w:rsidRPr="002619AA">
        <w:rPr>
          <w:rFonts w:eastAsia="ArialUnicodeMS" w:cs="Calibri"/>
          <w:color w:val="000000"/>
          <w:kern w:val="24"/>
          <w:lang w:eastAsia="zh-CN"/>
        </w:rPr>
        <w:t>. (2008)</w:t>
      </w:r>
      <w:r w:rsidR="00CD558A" w:rsidRPr="002619AA">
        <w:rPr>
          <w:rFonts w:eastAsia="ArialUnicodeMS" w:cs="Calibri"/>
          <w:color w:val="000000"/>
          <w:kern w:val="24"/>
          <w:lang w:eastAsia="zh-CN"/>
        </w:rPr>
        <w:t>.</w:t>
      </w:r>
      <w:r w:rsidR="006C1156" w:rsidRPr="002619AA">
        <w:rPr>
          <w:rFonts w:eastAsia="ArialUnicodeMS" w:cs="Calibri"/>
          <w:color w:val="000000"/>
          <w:kern w:val="24"/>
          <w:lang w:eastAsia="zh-CN"/>
        </w:rPr>
        <w:t xml:space="preserve"> </w:t>
      </w:r>
      <w:r w:rsidR="006C1156" w:rsidRPr="002619AA">
        <w:rPr>
          <w:rFonts w:eastAsia="Times New Roman" w:cs="Calibri"/>
          <w:color w:val="000000"/>
          <w:kern w:val="24"/>
          <w:lang w:eastAsia="zh-CN"/>
        </w:rPr>
        <w:t xml:space="preserve">Outcomes of a group randomised trial to prevent excess weight gain, reduce screen behaviours, and promote physical activity in 10-year-old children: Switch-Play. </w:t>
      </w:r>
      <w:r w:rsidR="006C1156" w:rsidRPr="002619AA">
        <w:rPr>
          <w:rFonts w:eastAsia="Times New Roman" w:cs="Calibri"/>
          <w:color w:val="000000"/>
          <w:kern w:val="24"/>
          <w:u w:val="single"/>
          <w:lang w:eastAsia="zh-CN"/>
        </w:rPr>
        <w:t>Int J Obes</w:t>
      </w:r>
      <w:r w:rsidR="006C1156" w:rsidRPr="002619AA">
        <w:rPr>
          <w:rFonts w:eastAsia="Times New Roman" w:cs="Calibri"/>
          <w:color w:val="000000"/>
          <w:kern w:val="24"/>
          <w:lang w:eastAsia="zh-CN"/>
        </w:rPr>
        <w:t xml:space="preserve"> 32: 601-612. </w:t>
      </w:r>
      <w:hyperlink r:id="rId1" w:history="1">
        <w:r w:rsidR="006C1156" w:rsidRPr="002619AA">
          <w:rPr>
            <w:rStyle w:val="Hyperlink"/>
            <w:rFonts w:eastAsia="Times New Roman" w:cs="Calibri"/>
            <w:kern w:val="24"/>
            <w:lang w:eastAsia="zh-CN"/>
          </w:rPr>
          <w:t>https://doi.org/10.1038/sj.ijo.0803805</w:t>
        </w:r>
      </w:hyperlink>
    </w:p>
    <w:p w14:paraId="418EC40D" w14:textId="26A57BC7" w:rsidR="00F66686" w:rsidRPr="002619AA" w:rsidRDefault="00F66686">
      <w:pPr>
        <w:pStyle w:val="EndnoteText"/>
        <w:rPr>
          <w:rFonts w:ascii="Gotham Book" w:hAnsi="Gotham Book"/>
          <w:lang w:val="en-US"/>
        </w:rPr>
      </w:pPr>
    </w:p>
  </w:endnote>
  <w:endnote w:id="2">
    <w:p w14:paraId="7D4B349B" w14:textId="6AF2BD51" w:rsidR="001B2176" w:rsidRPr="002619AA" w:rsidRDefault="00B35220" w:rsidP="001B2176">
      <w:pPr>
        <w:spacing w:before="0" w:after="0" w:line="240" w:lineRule="auto"/>
        <w:contextualSpacing/>
        <w:rPr>
          <w:rFonts w:eastAsia="Times New Roman" w:cs="Calibri"/>
          <w:lang w:eastAsia="zh-CN"/>
        </w:rPr>
      </w:pPr>
      <w:r w:rsidRPr="002619AA">
        <w:rPr>
          <w:rStyle w:val="EndnoteReference"/>
        </w:rPr>
        <w:endnoteRef/>
      </w:r>
      <w:r w:rsidRPr="002619AA">
        <w:t xml:space="preserve"> </w:t>
      </w:r>
      <w:r w:rsidR="001B2176" w:rsidRPr="002619AA">
        <w:rPr>
          <w:rFonts w:eastAsia="+mn-ea" w:cs="Calibri"/>
          <w:color w:val="000000"/>
          <w:kern w:val="24"/>
          <w:lang w:eastAsia="zh-CN"/>
        </w:rPr>
        <w:t xml:space="preserve">Salmon J </w:t>
      </w:r>
      <w:r w:rsidR="001B2176" w:rsidRPr="002619AA">
        <w:rPr>
          <w:rFonts w:eastAsia="+mn-ea" w:cs="Calibri"/>
          <w:i/>
          <w:iCs/>
          <w:color w:val="000000"/>
          <w:kern w:val="24"/>
          <w:lang w:eastAsia="zh-CN"/>
        </w:rPr>
        <w:t>et al</w:t>
      </w:r>
      <w:r w:rsidR="001B2176" w:rsidRPr="002619AA">
        <w:rPr>
          <w:rFonts w:eastAsia="+mn-ea" w:cs="Calibri"/>
          <w:color w:val="000000"/>
          <w:kern w:val="24"/>
          <w:lang w:eastAsia="zh-CN"/>
        </w:rPr>
        <w:t>. (2023)</w:t>
      </w:r>
      <w:r w:rsidR="00CD558A" w:rsidRPr="002619AA">
        <w:rPr>
          <w:rFonts w:eastAsia="+mn-ea" w:cs="Calibri"/>
          <w:color w:val="000000"/>
          <w:kern w:val="24"/>
          <w:lang w:eastAsia="zh-CN"/>
        </w:rPr>
        <w:t>.</w:t>
      </w:r>
      <w:r w:rsidR="001B2176" w:rsidRPr="002619AA">
        <w:rPr>
          <w:rFonts w:eastAsia="+mn-ea" w:cs="Calibri"/>
          <w:color w:val="000000"/>
          <w:kern w:val="24"/>
          <w:lang w:eastAsia="zh-CN"/>
        </w:rPr>
        <w:t xml:space="preserve"> The Transform-Us! cluster RCT: 18- and 30-month effects on children’s physical activity, sedentary time and cardiometabolic risk markers. </w:t>
      </w:r>
      <w:r w:rsidR="001B2176" w:rsidRPr="002619AA">
        <w:rPr>
          <w:rFonts w:eastAsia="+mn-ea" w:cs="Calibri"/>
          <w:color w:val="000000"/>
          <w:kern w:val="24"/>
          <w:u w:val="single"/>
          <w:lang w:eastAsia="zh-CN"/>
        </w:rPr>
        <w:t>Br J Sports Med</w:t>
      </w:r>
      <w:r w:rsidR="001B2176" w:rsidRPr="002619AA">
        <w:rPr>
          <w:rFonts w:eastAsia="+mn-ea" w:cs="Calibri"/>
          <w:color w:val="000000"/>
          <w:kern w:val="24"/>
          <w:lang w:eastAsia="zh-CN"/>
        </w:rPr>
        <w:t xml:space="preserve">. 57: 311-319. </w:t>
      </w:r>
      <w:hyperlink r:id="rId2" w:history="1">
        <w:r w:rsidR="001B2176" w:rsidRPr="002619AA">
          <w:rPr>
            <w:rStyle w:val="Hyperlink"/>
            <w:rFonts w:eastAsia="+mn-ea" w:cs="Calibri"/>
            <w:kern w:val="24"/>
            <w:lang w:eastAsia="zh-CN"/>
          </w:rPr>
          <w:t>https://doi.org/10.1136/bjsports-2022-105825</w:t>
        </w:r>
      </w:hyperlink>
    </w:p>
    <w:p w14:paraId="67822965" w14:textId="492E166B" w:rsidR="00B35220" w:rsidRPr="002619AA" w:rsidRDefault="00B35220">
      <w:pPr>
        <w:pStyle w:val="EndnoteText"/>
        <w:rPr>
          <w:rFonts w:ascii="Gotham Book" w:hAnsi="Gotham Book"/>
          <w:lang w:val="en-US"/>
        </w:rPr>
      </w:pPr>
    </w:p>
  </w:endnote>
  <w:endnote w:id="3">
    <w:p w14:paraId="64B8275D" w14:textId="12A54FCA" w:rsidR="004B4DA4" w:rsidRPr="002619AA" w:rsidRDefault="00C7050C" w:rsidP="004B4DA4">
      <w:pPr>
        <w:spacing w:before="0" w:after="0" w:line="240" w:lineRule="auto"/>
        <w:contextualSpacing/>
        <w:rPr>
          <w:rFonts w:eastAsia="Times New Roman" w:cs="Calibri"/>
          <w:lang w:eastAsia="zh-CN"/>
        </w:rPr>
      </w:pPr>
      <w:r w:rsidRPr="002619AA">
        <w:rPr>
          <w:rStyle w:val="EndnoteReference"/>
        </w:rPr>
        <w:endnoteRef/>
      </w:r>
      <w:r w:rsidRPr="002619AA">
        <w:t xml:space="preserve"> </w:t>
      </w:r>
      <w:r w:rsidR="004B4DA4" w:rsidRPr="002619AA">
        <w:rPr>
          <w:rFonts w:eastAsia="+mn-ea" w:cs="Calibri"/>
          <w:color w:val="000000"/>
          <w:kern w:val="24"/>
          <w:lang w:eastAsia="zh-CN"/>
        </w:rPr>
        <w:t xml:space="preserve">Brown V </w:t>
      </w:r>
      <w:r w:rsidR="004B4DA4" w:rsidRPr="002619AA">
        <w:rPr>
          <w:rFonts w:eastAsia="+mn-ea" w:cs="Calibri"/>
          <w:i/>
          <w:iCs/>
          <w:color w:val="000000"/>
          <w:kern w:val="24"/>
          <w:lang w:eastAsia="zh-CN"/>
        </w:rPr>
        <w:t>et al</w:t>
      </w:r>
      <w:r w:rsidR="004B4DA4" w:rsidRPr="002619AA">
        <w:rPr>
          <w:rFonts w:eastAsia="+mn-ea" w:cs="Calibri"/>
          <w:color w:val="000000"/>
          <w:kern w:val="24"/>
          <w:lang w:eastAsia="zh-CN"/>
        </w:rPr>
        <w:t>. (2024)</w:t>
      </w:r>
      <w:r w:rsidR="00CD558A" w:rsidRPr="002619AA">
        <w:rPr>
          <w:rFonts w:eastAsia="+mn-ea" w:cs="Calibri"/>
          <w:color w:val="000000"/>
          <w:kern w:val="24"/>
          <w:lang w:eastAsia="zh-CN"/>
        </w:rPr>
        <w:t>.</w:t>
      </w:r>
      <w:r w:rsidR="004B4DA4" w:rsidRPr="002619AA">
        <w:rPr>
          <w:rFonts w:eastAsia="+mn-ea" w:cs="Calibri"/>
          <w:color w:val="000000"/>
          <w:kern w:val="24"/>
          <w:lang w:eastAsia="zh-CN"/>
        </w:rPr>
        <w:t xml:space="preserve"> Cost-effectiveness of reducing children’s sedentary time and increasing physical activity at school: the Transform-Us intervention. </w:t>
      </w:r>
      <w:r w:rsidR="004B4DA4" w:rsidRPr="002619AA">
        <w:rPr>
          <w:rFonts w:eastAsia="+mn-ea" w:cs="Calibri"/>
          <w:color w:val="000000"/>
          <w:kern w:val="24"/>
          <w:u w:val="single"/>
          <w:lang w:eastAsia="zh-CN"/>
        </w:rPr>
        <w:t>Int J Behav Nutr Phys Act</w:t>
      </w:r>
      <w:r w:rsidR="004B4DA4" w:rsidRPr="002619AA">
        <w:rPr>
          <w:rFonts w:eastAsia="+mn-ea" w:cs="Calibri"/>
          <w:color w:val="000000"/>
          <w:kern w:val="24"/>
          <w:lang w:eastAsia="zh-CN"/>
        </w:rPr>
        <w:t xml:space="preserve">. 21: 15. </w:t>
      </w:r>
      <w:hyperlink r:id="rId3" w:history="1">
        <w:r w:rsidR="004B4DA4" w:rsidRPr="002619AA">
          <w:rPr>
            <w:rStyle w:val="Hyperlink"/>
            <w:rFonts w:eastAsia="+mn-ea" w:cs="Calibri"/>
            <w:kern w:val="24"/>
            <w:lang w:eastAsia="zh-CN"/>
          </w:rPr>
          <w:t>https://doi.org/10.1186/s12966-024-01560-3</w:t>
        </w:r>
      </w:hyperlink>
    </w:p>
    <w:p w14:paraId="178BDABC" w14:textId="07CB0C3B" w:rsidR="00C7050C" w:rsidRPr="00C7050C" w:rsidRDefault="00C7050C">
      <w:pPr>
        <w:pStyle w:val="EndnoteText"/>
        <w:rPr>
          <w:lang w:val="en-US"/>
        </w:rPr>
      </w:pPr>
    </w:p>
  </w:endnote>
  <w:endnote w:id="4">
    <w:p w14:paraId="2D5BAE99" w14:textId="2C74A9DD" w:rsidR="00381C6A" w:rsidRPr="002619AA" w:rsidRDefault="00C60D28" w:rsidP="00381C6A">
      <w:pPr>
        <w:spacing w:before="0" w:after="0" w:line="240" w:lineRule="auto"/>
        <w:contextualSpacing/>
        <w:rPr>
          <w:rFonts w:eastAsia="Times New Roman" w:cs="Calibri"/>
          <w:lang w:eastAsia="zh-CN"/>
        </w:rPr>
      </w:pPr>
      <w:r w:rsidRPr="002619AA">
        <w:rPr>
          <w:rStyle w:val="EndnoteReference"/>
        </w:rPr>
        <w:endnoteRef/>
      </w:r>
      <w:r w:rsidRPr="002619AA">
        <w:t xml:space="preserve"> </w:t>
      </w:r>
      <w:r w:rsidR="00381C6A" w:rsidRPr="002619AA">
        <w:rPr>
          <w:rFonts w:eastAsia="+mn-ea" w:cs="Calibri"/>
          <w:color w:val="000000"/>
          <w:kern w:val="24"/>
          <w:lang w:eastAsia="zh-CN"/>
        </w:rPr>
        <w:t xml:space="preserve">Koorts H </w:t>
      </w:r>
      <w:r w:rsidR="00381C6A" w:rsidRPr="002619AA">
        <w:rPr>
          <w:rFonts w:eastAsia="+mn-ea" w:cs="Calibri"/>
          <w:i/>
          <w:iCs/>
          <w:color w:val="000000"/>
          <w:kern w:val="24"/>
          <w:lang w:eastAsia="zh-CN"/>
        </w:rPr>
        <w:t>et al</w:t>
      </w:r>
      <w:r w:rsidR="00381C6A" w:rsidRPr="002619AA">
        <w:rPr>
          <w:rFonts w:eastAsia="+mn-ea" w:cs="Calibri"/>
          <w:color w:val="000000"/>
          <w:kern w:val="24"/>
          <w:lang w:eastAsia="zh-CN"/>
        </w:rPr>
        <w:t>.  (2023)</w:t>
      </w:r>
      <w:r w:rsidR="00CD558A" w:rsidRPr="002619AA">
        <w:rPr>
          <w:rFonts w:eastAsia="+mn-ea" w:cs="Calibri"/>
          <w:color w:val="000000"/>
          <w:kern w:val="24"/>
          <w:lang w:eastAsia="zh-CN"/>
        </w:rPr>
        <w:t>.</w:t>
      </w:r>
      <w:r w:rsidR="00381C6A" w:rsidRPr="002619AA">
        <w:rPr>
          <w:rFonts w:eastAsia="+mn-ea" w:cs="Calibri"/>
          <w:color w:val="000000"/>
          <w:kern w:val="24"/>
          <w:lang w:eastAsia="zh-CN"/>
        </w:rPr>
        <w:t xml:space="preserve"> Scaling up a school-based intervention to increase physical activity and reduce sedentary behaviour in children: protocol for the TransformUs hybrid effectiveness-implementation trial. </w:t>
      </w:r>
      <w:r w:rsidR="00381C6A" w:rsidRPr="002619AA">
        <w:rPr>
          <w:rFonts w:eastAsia="+mn-ea" w:cs="Calibri"/>
          <w:color w:val="000000"/>
          <w:kern w:val="24"/>
          <w:u w:val="single"/>
          <w:lang w:eastAsia="zh-CN"/>
        </w:rPr>
        <w:t>BMJ Open</w:t>
      </w:r>
      <w:r w:rsidR="00381C6A" w:rsidRPr="002619AA">
        <w:rPr>
          <w:rFonts w:eastAsia="+mn-ea" w:cs="Calibri"/>
          <w:color w:val="000000"/>
          <w:kern w:val="24"/>
          <w:lang w:eastAsia="zh-CN"/>
        </w:rPr>
        <w:t xml:space="preserve">. 2023; 13: e078410. </w:t>
      </w:r>
      <w:hyperlink r:id="rId4" w:history="1">
        <w:r w:rsidR="00381C6A" w:rsidRPr="002619AA">
          <w:rPr>
            <w:rStyle w:val="Hyperlink"/>
            <w:rFonts w:eastAsia="+mn-ea" w:cs="Calibri"/>
            <w:kern w:val="24"/>
            <w:lang w:eastAsia="zh-CN"/>
          </w:rPr>
          <w:t>https://doi.org/10.1136/bmjopen-2023-078410</w:t>
        </w:r>
      </w:hyperlink>
    </w:p>
    <w:p w14:paraId="2768CBE6" w14:textId="3145E72B" w:rsidR="00C60D28" w:rsidRPr="00C60D28" w:rsidRDefault="00C60D28">
      <w:pPr>
        <w:pStyle w:val="EndnoteText"/>
        <w:rPr>
          <w:lang w:val="en-US"/>
        </w:rPr>
      </w:pPr>
    </w:p>
  </w:endnote>
  <w:endnote w:id="5">
    <w:p w14:paraId="5B780ED4" w14:textId="70BD6265" w:rsidR="00040766" w:rsidRPr="00BE102F" w:rsidRDefault="006A5868" w:rsidP="00040766">
      <w:pPr>
        <w:spacing w:before="0" w:after="0" w:line="240" w:lineRule="auto"/>
        <w:contextualSpacing/>
        <w:rPr>
          <w:rFonts w:ascii="Calibri" w:eastAsia="Times New Roman" w:hAnsi="Calibri" w:cs="Calibri"/>
          <w:lang w:eastAsia="zh-CN"/>
        </w:rPr>
      </w:pPr>
      <w:r>
        <w:rPr>
          <w:rStyle w:val="EndnoteReference"/>
        </w:rPr>
        <w:endnoteRef/>
      </w:r>
      <w:r>
        <w:t xml:space="preserve"> </w:t>
      </w:r>
      <w:r w:rsidR="00040766" w:rsidRPr="002619AA">
        <w:rPr>
          <w:rFonts w:eastAsia="+mn-ea" w:cs="Calibri"/>
          <w:color w:val="000000"/>
          <w:kern w:val="24"/>
          <w:lang w:eastAsia="zh-CN"/>
        </w:rPr>
        <w:t xml:space="preserve">Lander N </w:t>
      </w:r>
      <w:r w:rsidR="00040766" w:rsidRPr="002619AA">
        <w:rPr>
          <w:rFonts w:eastAsia="+mn-ea" w:cs="Calibri"/>
          <w:i/>
          <w:iCs/>
          <w:color w:val="000000"/>
          <w:kern w:val="24"/>
          <w:lang w:eastAsia="zh-CN"/>
        </w:rPr>
        <w:t>et al</w:t>
      </w:r>
      <w:r w:rsidR="00040766" w:rsidRPr="002619AA">
        <w:rPr>
          <w:rFonts w:eastAsia="+mn-ea" w:cs="Calibri"/>
          <w:color w:val="000000"/>
          <w:kern w:val="24"/>
          <w:lang w:eastAsia="zh-CN"/>
        </w:rPr>
        <w:t>. (2023)</w:t>
      </w:r>
      <w:r w:rsidR="00CD558A" w:rsidRPr="002619AA">
        <w:rPr>
          <w:rFonts w:eastAsia="+mn-ea" w:cs="Calibri"/>
          <w:color w:val="000000"/>
          <w:kern w:val="24"/>
          <w:lang w:eastAsia="zh-CN"/>
        </w:rPr>
        <w:t>.</w:t>
      </w:r>
      <w:r w:rsidR="00040766" w:rsidRPr="002619AA">
        <w:rPr>
          <w:rFonts w:eastAsia="+mn-ea" w:cs="Calibri"/>
          <w:color w:val="000000"/>
          <w:kern w:val="24"/>
          <w:lang w:eastAsia="zh-CN"/>
        </w:rPr>
        <w:t xml:space="preserve"> Equipping future teachers with innovative strategies that increase physical activity in the classroom: A hybrid implementation trial across three Australian universities. </w:t>
      </w:r>
      <w:r w:rsidR="00040766" w:rsidRPr="002619AA">
        <w:rPr>
          <w:rFonts w:eastAsia="+mn-ea" w:cs="Calibri"/>
          <w:color w:val="000000"/>
          <w:kern w:val="24"/>
          <w:u w:val="single"/>
          <w:lang w:eastAsia="zh-CN"/>
        </w:rPr>
        <w:t>Front Educ</w:t>
      </w:r>
      <w:r w:rsidR="00040766" w:rsidRPr="002619AA">
        <w:rPr>
          <w:rFonts w:eastAsia="+mn-ea" w:cs="Calibri"/>
          <w:color w:val="000000"/>
          <w:kern w:val="24"/>
          <w:lang w:eastAsia="zh-CN"/>
        </w:rPr>
        <w:t xml:space="preserve">. 8: 1093234. </w:t>
      </w:r>
      <w:hyperlink r:id="rId5" w:history="1">
        <w:r w:rsidR="00040766" w:rsidRPr="002619AA">
          <w:rPr>
            <w:rStyle w:val="Hyperlink"/>
            <w:rFonts w:eastAsia="+mn-ea" w:cs="Calibri"/>
            <w:kern w:val="24"/>
            <w:lang w:eastAsia="zh-CN"/>
          </w:rPr>
          <w:t>https://doi.org/10.3389/feduc.2023.1093234</w:t>
        </w:r>
      </w:hyperlink>
    </w:p>
    <w:p w14:paraId="12DBF352" w14:textId="27DDB7DB" w:rsidR="006A5868" w:rsidRPr="006A5868" w:rsidRDefault="006A5868">
      <w:pPr>
        <w:pStyle w:val="EndnoteText"/>
        <w:rPr>
          <w:lang w:val="en-US"/>
        </w:rPr>
      </w:pPr>
    </w:p>
  </w:endnote>
  <w:endnote w:id="6">
    <w:p w14:paraId="3C774766" w14:textId="5FC3AC7F" w:rsidR="007941AE" w:rsidRPr="00420DE9" w:rsidRDefault="00040766" w:rsidP="00420DE9">
      <w:pPr>
        <w:rPr>
          <w:lang w:eastAsia="zh-CN"/>
        </w:rPr>
      </w:pPr>
      <w:r w:rsidRPr="002619AA">
        <w:rPr>
          <w:vertAlign w:val="superscript"/>
        </w:rPr>
        <w:endnoteRef/>
      </w:r>
      <w:r w:rsidRPr="002619AA">
        <w:rPr>
          <w:vertAlign w:val="superscript"/>
        </w:rPr>
        <w:t xml:space="preserve"> </w:t>
      </w:r>
      <w:r w:rsidR="007941AE" w:rsidRPr="00420DE9">
        <w:rPr>
          <w:lang w:eastAsia="zh-CN"/>
        </w:rPr>
        <w:t>Hill, J. and C. Shewbridge (2025)</w:t>
      </w:r>
      <w:r w:rsidR="00CD558A" w:rsidRPr="00420DE9">
        <w:rPr>
          <w:lang w:eastAsia="zh-CN"/>
        </w:rPr>
        <w:t>.</w:t>
      </w:r>
      <w:r w:rsidR="007941AE" w:rsidRPr="00420DE9">
        <w:rPr>
          <w:lang w:eastAsia="zh-CN"/>
        </w:rPr>
        <w:t xml:space="preserve"> “How can OECD countries empower children to be more physically active?”, OECD Education Working Papers, No. 339, OECD Publishing, Paris, </w:t>
      </w:r>
      <w:hyperlink r:id="rId6" w:history="1">
        <w:r w:rsidR="007941AE" w:rsidRPr="00420DE9">
          <w:rPr>
            <w:rStyle w:val="Hyperlink"/>
            <w:lang w:eastAsia="zh-CN"/>
          </w:rPr>
          <w:t>https://doi.org/10.1787/f534b2d0-en</w:t>
        </w:r>
      </w:hyperlink>
      <w:r w:rsidR="007941AE" w:rsidRPr="00420DE9">
        <w:rPr>
          <w:lang w:eastAsia="zh-CN"/>
        </w:rPr>
        <w:t>.</w:t>
      </w:r>
    </w:p>
    <w:p w14:paraId="0FDC4A54" w14:textId="46FAF024" w:rsidR="00040766" w:rsidRPr="00040766" w:rsidRDefault="00040766">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Gotham Book">
    <w:altName w:val="Calibri"/>
    <w:panose1 w:val="00000000000000000000"/>
    <w:charset w:val="00"/>
    <w:family w:val="modern"/>
    <w:notTrueType/>
    <w:pitch w:val="variable"/>
    <w:sig w:usb0="A00002FF" w:usb1="4000005B" w:usb2="00000000" w:usb3="00000000" w:csb0="0000009F" w:csb1="00000000"/>
  </w:font>
  <w:font w:name="Gotham Medium">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UnicodeMS">
    <w:altName w:val="Arial Unicode MS"/>
    <w:panose1 w:val="00000000000000000000"/>
    <w:charset w:val="81"/>
    <w:family w:val="auto"/>
    <w:notTrueType/>
    <w:pitch w:val="default"/>
    <w:sig w:usb0="00000003" w:usb1="09060000" w:usb2="00000010" w:usb3="00000000" w:csb0="00080001"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308EE" w:rsidRPr="00FF1AAF" w14:paraId="2753E66F" w14:textId="77777777" w:rsidTr="00483C1F">
      <w:tc>
        <w:tcPr>
          <w:tcW w:w="1736" w:type="dxa"/>
          <w:tcBorders>
            <w:top w:val="nil"/>
            <w:bottom w:val="single" w:sz="8" w:space="0" w:color="4BACC6"/>
          </w:tcBorders>
        </w:tcPr>
        <w:p w14:paraId="2544F718" w14:textId="4D3F94CE"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61C80A6A"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52447546"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7FAAA2C4" w14:textId="77777777" w:rsidTr="00483C1F">
      <w:tc>
        <w:tcPr>
          <w:tcW w:w="1736" w:type="dxa"/>
          <w:tcBorders>
            <w:top w:val="single" w:sz="8" w:space="0" w:color="4BACC6"/>
          </w:tcBorders>
        </w:tcPr>
        <w:p w14:paraId="58BBE84B"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BCB7963" w14:textId="5C428500"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07FC934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7061649" wp14:editId="2F91C61D">
                <wp:extent cx="617855" cy="380365"/>
                <wp:effectExtent l="0" t="0" r="0" b="635"/>
                <wp:docPr id="550115858" name="Picture 550115858"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0333E3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5037B9E0" w14:textId="77777777" w:rsidTr="00483C1F">
      <w:tc>
        <w:tcPr>
          <w:tcW w:w="1452" w:type="dxa"/>
          <w:tcBorders>
            <w:top w:val="nil"/>
            <w:bottom w:val="single" w:sz="8" w:space="0" w:color="4BACC6"/>
          </w:tcBorders>
        </w:tcPr>
        <w:p w14:paraId="41A80942"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6677FEC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475A495"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3C099651" w14:textId="77777777" w:rsidTr="00483C1F">
      <w:tc>
        <w:tcPr>
          <w:tcW w:w="1452" w:type="dxa"/>
          <w:tcBorders>
            <w:top w:val="single" w:sz="8" w:space="0" w:color="4BACC6"/>
          </w:tcBorders>
        </w:tcPr>
        <w:p w14:paraId="04E2A6B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6234468" w14:textId="2944AD19"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1203EF8C"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93C0DE4" wp14:editId="5FEDA1A4">
                <wp:extent cx="617855" cy="380365"/>
                <wp:effectExtent l="0" t="0" r="0" b="635"/>
                <wp:docPr id="1747531855" name="Picture 1747531855"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6D86DB4"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D04B" w14:textId="77777777" w:rsidR="00E50C50" w:rsidRDefault="00E50C50" w:rsidP="007A386A">
      <w:pPr>
        <w:spacing w:after="0" w:line="240" w:lineRule="auto"/>
      </w:pPr>
      <w:r>
        <w:separator/>
      </w:r>
    </w:p>
  </w:footnote>
  <w:footnote w:type="continuationSeparator" w:id="0">
    <w:p w14:paraId="6EFFB6F6" w14:textId="77777777" w:rsidR="00E50C50" w:rsidRDefault="00E50C50"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16F7594C" w14:textId="77777777" w:rsidTr="002308EE">
      <w:tc>
        <w:tcPr>
          <w:tcW w:w="2977" w:type="dxa"/>
        </w:tcPr>
        <w:p w14:paraId="0CE9491F" w14:textId="77777777" w:rsidR="002308EE" w:rsidRDefault="002308EE" w:rsidP="002308EE">
          <w:pPr>
            <w:pStyle w:val="Header"/>
          </w:pPr>
        </w:p>
      </w:tc>
      <w:tc>
        <w:tcPr>
          <w:tcW w:w="5954" w:type="dxa"/>
        </w:tcPr>
        <w:p w14:paraId="6CA6E1EE" w14:textId="555D5272" w:rsidR="002308EE" w:rsidRDefault="002308EE" w:rsidP="002308EE">
          <w:pPr>
            <w:pStyle w:val="SecurityDLM"/>
            <w:ind w:left="0"/>
            <w:jc w:val="right"/>
          </w:pPr>
        </w:p>
      </w:tc>
      <w:tc>
        <w:tcPr>
          <w:tcW w:w="1417" w:type="dxa"/>
        </w:tcPr>
        <w:p w14:paraId="59366617" w14:textId="77777777" w:rsidR="002308EE" w:rsidRDefault="002308EE" w:rsidP="002308EE">
          <w:pPr>
            <w:pStyle w:val="Header"/>
            <w:jc w:val="right"/>
          </w:pPr>
          <w:r>
            <w:rPr>
              <w:noProof/>
            </w:rPr>
            <w:drawing>
              <wp:inline distT="0" distB="0" distL="0" distR="0" wp14:anchorId="6FA8554E" wp14:editId="27DD7285">
                <wp:extent cx="755640" cy="755640"/>
                <wp:effectExtent l="0" t="0" r="6985" b="6985"/>
                <wp:docPr id="805787780" name="Picture 805787780"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A298364" w14:textId="77777777" w:rsidR="0022668B" w:rsidRDefault="0022668B" w:rsidP="0022668B">
    <w:pPr>
      <w:pStyle w:val="Header"/>
    </w:pPr>
  </w:p>
  <w:p w14:paraId="15A25172"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47D20BAB" w14:textId="77777777" w:rsidTr="002308EE">
      <w:tc>
        <w:tcPr>
          <w:tcW w:w="5386" w:type="dxa"/>
        </w:tcPr>
        <w:p w14:paraId="0DA3C068" w14:textId="77777777" w:rsidR="003B3DE8" w:rsidRDefault="003B3DE8" w:rsidP="0022668B">
          <w:pPr>
            <w:pStyle w:val="Header"/>
          </w:pPr>
          <w:r>
            <w:rPr>
              <w:noProof/>
            </w:rPr>
            <w:drawing>
              <wp:inline distT="0" distB="0" distL="0" distR="0" wp14:anchorId="79142C5A" wp14:editId="15F67335">
                <wp:extent cx="3282950" cy="756920"/>
                <wp:effectExtent l="0" t="0" r="0" b="5080"/>
                <wp:docPr id="377532570" name="Picture 377532570"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5E19117F" w14:textId="7E0D1049" w:rsidR="003B3DE8" w:rsidRDefault="003B3DE8" w:rsidP="002308EE">
          <w:pPr>
            <w:pStyle w:val="SecurityDLM"/>
            <w:ind w:left="0"/>
            <w:jc w:val="right"/>
          </w:pPr>
        </w:p>
      </w:tc>
      <w:tc>
        <w:tcPr>
          <w:tcW w:w="1415" w:type="dxa"/>
        </w:tcPr>
        <w:p w14:paraId="02C12C6D" w14:textId="77777777" w:rsidR="003B3DE8" w:rsidRDefault="002308EE" w:rsidP="002308EE">
          <w:pPr>
            <w:pStyle w:val="Header"/>
            <w:jc w:val="right"/>
          </w:pPr>
          <w:r>
            <w:rPr>
              <w:noProof/>
            </w:rPr>
            <w:drawing>
              <wp:inline distT="0" distB="0" distL="0" distR="0" wp14:anchorId="1E6F2BA2" wp14:editId="29E99A14">
                <wp:extent cx="755640" cy="755640"/>
                <wp:effectExtent l="0" t="0" r="6985" b="6985"/>
                <wp:docPr id="1374354735" name="Picture 137435473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57DB0D2C" w14:textId="77777777" w:rsidR="00133DD8" w:rsidRDefault="00133DD8" w:rsidP="002308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5AF4883"/>
    <w:multiLevelType w:val="hybridMultilevel"/>
    <w:tmpl w:val="2B5E1E6E"/>
    <w:lvl w:ilvl="0" w:tplc="D88612C0">
      <w:start w:val="1"/>
      <w:numFmt w:val="decimal"/>
      <w:lvlText w:val="%1."/>
      <w:lvlJc w:val="left"/>
      <w:pPr>
        <w:tabs>
          <w:tab w:val="num" w:pos="720"/>
        </w:tabs>
        <w:ind w:left="720" w:hanging="360"/>
      </w:pPr>
    </w:lvl>
    <w:lvl w:ilvl="1" w:tplc="B5EA4AC8" w:tentative="1">
      <w:start w:val="1"/>
      <w:numFmt w:val="decimal"/>
      <w:lvlText w:val="%2."/>
      <w:lvlJc w:val="left"/>
      <w:pPr>
        <w:tabs>
          <w:tab w:val="num" w:pos="1440"/>
        </w:tabs>
        <w:ind w:left="1440" w:hanging="360"/>
      </w:pPr>
    </w:lvl>
    <w:lvl w:ilvl="2" w:tplc="73B43914" w:tentative="1">
      <w:start w:val="1"/>
      <w:numFmt w:val="decimal"/>
      <w:lvlText w:val="%3."/>
      <w:lvlJc w:val="left"/>
      <w:pPr>
        <w:tabs>
          <w:tab w:val="num" w:pos="2160"/>
        </w:tabs>
        <w:ind w:left="2160" w:hanging="360"/>
      </w:pPr>
    </w:lvl>
    <w:lvl w:ilvl="3" w:tplc="1B0623AE" w:tentative="1">
      <w:start w:val="1"/>
      <w:numFmt w:val="decimal"/>
      <w:lvlText w:val="%4."/>
      <w:lvlJc w:val="left"/>
      <w:pPr>
        <w:tabs>
          <w:tab w:val="num" w:pos="2880"/>
        </w:tabs>
        <w:ind w:left="2880" w:hanging="360"/>
      </w:pPr>
    </w:lvl>
    <w:lvl w:ilvl="4" w:tplc="41281076" w:tentative="1">
      <w:start w:val="1"/>
      <w:numFmt w:val="decimal"/>
      <w:lvlText w:val="%5."/>
      <w:lvlJc w:val="left"/>
      <w:pPr>
        <w:tabs>
          <w:tab w:val="num" w:pos="3600"/>
        </w:tabs>
        <w:ind w:left="3600" w:hanging="360"/>
      </w:pPr>
    </w:lvl>
    <w:lvl w:ilvl="5" w:tplc="C36A4C52" w:tentative="1">
      <w:start w:val="1"/>
      <w:numFmt w:val="decimal"/>
      <w:lvlText w:val="%6."/>
      <w:lvlJc w:val="left"/>
      <w:pPr>
        <w:tabs>
          <w:tab w:val="num" w:pos="4320"/>
        </w:tabs>
        <w:ind w:left="4320" w:hanging="360"/>
      </w:pPr>
    </w:lvl>
    <w:lvl w:ilvl="6" w:tplc="4EAA62A0" w:tentative="1">
      <w:start w:val="1"/>
      <w:numFmt w:val="decimal"/>
      <w:lvlText w:val="%7."/>
      <w:lvlJc w:val="left"/>
      <w:pPr>
        <w:tabs>
          <w:tab w:val="num" w:pos="5040"/>
        </w:tabs>
        <w:ind w:left="5040" w:hanging="360"/>
      </w:pPr>
    </w:lvl>
    <w:lvl w:ilvl="7" w:tplc="F3128412" w:tentative="1">
      <w:start w:val="1"/>
      <w:numFmt w:val="decimal"/>
      <w:lvlText w:val="%8."/>
      <w:lvlJc w:val="left"/>
      <w:pPr>
        <w:tabs>
          <w:tab w:val="num" w:pos="5760"/>
        </w:tabs>
        <w:ind w:left="5760" w:hanging="360"/>
      </w:pPr>
    </w:lvl>
    <w:lvl w:ilvl="8" w:tplc="3978FF26" w:tentative="1">
      <w:start w:val="1"/>
      <w:numFmt w:val="decimal"/>
      <w:lvlText w:val="%9."/>
      <w:lvlJc w:val="left"/>
      <w:pPr>
        <w:tabs>
          <w:tab w:val="num" w:pos="6480"/>
        </w:tabs>
        <w:ind w:left="6480" w:hanging="360"/>
      </w:pPr>
    </w:lvl>
  </w:abstractNum>
  <w:abstractNum w:abstractNumId="2" w15:restartNumberingAfterBreak="0">
    <w:nsid w:val="065E6660"/>
    <w:multiLevelType w:val="hybridMultilevel"/>
    <w:tmpl w:val="1312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65B64"/>
    <w:multiLevelType w:val="hybridMultilevel"/>
    <w:tmpl w:val="B70845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7471"/>
    <w:multiLevelType w:val="hybridMultilevel"/>
    <w:tmpl w:val="D820E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1E6001"/>
    <w:multiLevelType w:val="hybridMultilevel"/>
    <w:tmpl w:val="8090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6A2FAB"/>
    <w:multiLevelType w:val="hybridMultilevel"/>
    <w:tmpl w:val="03A8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12"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13" w15:restartNumberingAfterBreak="0">
    <w:nsid w:val="39CD1A18"/>
    <w:multiLevelType w:val="hybridMultilevel"/>
    <w:tmpl w:val="FF88B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67410AF"/>
    <w:multiLevelType w:val="hybridMultilevel"/>
    <w:tmpl w:val="66B4788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DC6C8E"/>
    <w:multiLevelType w:val="multilevel"/>
    <w:tmpl w:val="131EEC6C"/>
    <w:numStyleLink w:val="TableNumbers"/>
  </w:abstractNum>
  <w:abstractNum w:abstractNumId="18" w15:restartNumberingAfterBreak="0">
    <w:nsid w:val="52E8589E"/>
    <w:multiLevelType w:val="hybridMultilevel"/>
    <w:tmpl w:val="AA948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E676E09"/>
    <w:multiLevelType w:val="multilevel"/>
    <w:tmpl w:val="0C09001F"/>
    <w:numStyleLink w:val="NumberedHeadings"/>
  </w:abstractNum>
  <w:abstractNum w:abstractNumId="23" w15:restartNumberingAfterBreak="0">
    <w:nsid w:val="69D71D6B"/>
    <w:multiLevelType w:val="hybridMultilevel"/>
    <w:tmpl w:val="76448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DF12B9"/>
    <w:multiLevelType w:val="hybridMultilevel"/>
    <w:tmpl w:val="F3DCE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EE44065"/>
    <w:multiLevelType w:val="multilevel"/>
    <w:tmpl w:val="A41689A2"/>
    <w:numStyleLink w:val="AppendixNumbers"/>
  </w:abstractNum>
  <w:abstractNum w:abstractNumId="27"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27"/>
  </w:num>
  <w:num w:numId="2" w16cid:durableId="709764690">
    <w:abstractNumId w:val="19"/>
  </w:num>
  <w:num w:numId="3" w16cid:durableId="142164143">
    <w:abstractNumId w:val="19"/>
  </w:num>
  <w:num w:numId="4" w16cid:durableId="1158381352">
    <w:abstractNumId w:val="15"/>
  </w:num>
  <w:num w:numId="5" w16cid:durableId="2105416843">
    <w:abstractNumId w:val="15"/>
  </w:num>
  <w:num w:numId="6" w16cid:durableId="491412865">
    <w:abstractNumId w:val="25"/>
  </w:num>
  <w:num w:numId="7" w16cid:durableId="1070150997">
    <w:abstractNumId w:val="25"/>
  </w:num>
  <w:num w:numId="8" w16cid:durableId="2095473806">
    <w:abstractNumId w:val="7"/>
  </w:num>
  <w:num w:numId="9" w16cid:durableId="960039475">
    <w:abstractNumId w:val="0"/>
  </w:num>
  <w:num w:numId="10" w16cid:durableId="1213810782">
    <w:abstractNumId w:val="20"/>
  </w:num>
  <w:num w:numId="11" w16cid:durableId="999507997">
    <w:abstractNumId w:val="5"/>
  </w:num>
  <w:num w:numId="12" w16cid:durableId="991106785">
    <w:abstractNumId w:val="6"/>
  </w:num>
  <w:num w:numId="13" w16cid:durableId="1844390436">
    <w:abstractNumId w:val="21"/>
  </w:num>
  <w:num w:numId="14" w16cid:durableId="1228960154">
    <w:abstractNumId w:val="21"/>
  </w:num>
  <w:num w:numId="15" w16cid:durableId="1083524882">
    <w:abstractNumId w:val="11"/>
  </w:num>
  <w:num w:numId="16" w16cid:durableId="709378581">
    <w:abstractNumId w:val="8"/>
  </w:num>
  <w:num w:numId="17" w16cid:durableId="1198665999">
    <w:abstractNumId w:val="17"/>
  </w:num>
  <w:num w:numId="18" w16cid:durableId="1040395793">
    <w:abstractNumId w:val="12"/>
  </w:num>
  <w:num w:numId="19" w16cid:durableId="583104145">
    <w:abstractNumId w:val="26"/>
  </w:num>
  <w:num w:numId="20" w16cid:durableId="1291282911">
    <w:abstractNumId w:val="22"/>
  </w:num>
  <w:num w:numId="21" w16cid:durableId="1443452407">
    <w:abstractNumId w:val="14"/>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076515">
    <w:abstractNumId w:val="18"/>
  </w:num>
  <w:num w:numId="25" w16cid:durableId="753741510">
    <w:abstractNumId w:val="10"/>
  </w:num>
  <w:num w:numId="26" w16cid:durableId="1965847286">
    <w:abstractNumId w:val="2"/>
  </w:num>
  <w:num w:numId="27" w16cid:durableId="1877623733">
    <w:abstractNumId w:val="16"/>
  </w:num>
  <w:num w:numId="28" w16cid:durableId="349530849">
    <w:abstractNumId w:val="4"/>
  </w:num>
  <w:num w:numId="29" w16cid:durableId="336661231">
    <w:abstractNumId w:val="9"/>
  </w:num>
  <w:num w:numId="30" w16cid:durableId="1006395456">
    <w:abstractNumId w:val="13"/>
  </w:num>
  <w:num w:numId="31" w16cid:durableId="665477492">
    <w:abstractNumId w:val="23"/>
  </w:num>
  <w:num w:numId="32" w16cid:durableId="1252542842">
    <w:abstractNumId w:val="3"/>
  </w:num>
  <w:num w:numId="33" w16cid:durableId="274756518">
    <w:abstractNumId w:val="24"/>
  </w:num>
  <w:num w:numId="34" w16cid:durableId="199301965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DE"/>
    <w:rsid w:val="00000A23"/>
    <w:rsid w:val="00014BAE"/>
    <w:rsid w:val="000151BE"/>
    <w:rsid w:val="00015B68"/>
    <w:rsid w:val="000166DE"/>
    <w:rsid w:val="00025F66"/>
    <w:rsid w:val="00027E5F"/>
    <w:rsid w:val="000317D8"/>
    <w:rsid w:val="00033D6B"/>
    <w:rsid w:val="00040766"/>
    <w:rsid w:val="0004120E"/>
    <w:rsid w:val="00043B67"/>
    <w:rsid w:val="0004635D"/>
    <w:rsid w:val="0004683C"/>
    <w:rsid w:val="0005132B"/>
    <w:rsid w:val="00051B13"/>
    <w:rsid w:val="0005264E"/>
    <w:rsid w:val="00054C25"/>
    <w:rsid w:val="00056AA1"/>
    <w:rsid w:val="00061B60"/>
    <w:rsid w:val="00066BA6"/>
    <w:rsid w:val="0008196B"/>
    <w:rsid w:val="0008622C"/>
    <w:rsid w:val="000875B5"/>
    <w:rsid w:val="00096209"/>
    <w:rsid w:val="000A4685"/>
    <w:rsid w:val="000A5D8A"/>
    <w:rsid w:val="000A7809"/>
    <w:rsid w:val="000B0F2C"/>
    <w:rsid w:val="000B1EDE"/>
    <w:rsid w:val="000B2294"/>
    <w:rsid w:val="000B7651"/>
    <w:rsid w:val="000C6D75"/>
    <w:rsid w:val="000D1B86"/>
    <w:rsid w:val="000D4CF5"/>
    <w:rsid w:val="000D586A"/>
    <w:rsid w:val="000D5E33"/>
    <w:rsid w:val="000D78D9"/>
    <w:rsid w:val="000F63E2"/>
    <w:rsid w:val="00100636"/>
    <w:rsid w:val="001060E2"/>
    <w:rsid w:val="0010770F"/>
    <w:rsid w:val="00107B3D"/>
    <w:rsid w:val="001137B1"/>
    <w:rsid w:val="00123F1C"/>
    <w:rsid w:val="00124439"/>
    <w:rsid w:val="00133DD8"/>
    <w:rsid w:val="0014133A"/>
    <w:rsid w:val="0014626F"/>
    <w:rsid w:val="001508C3"/>
    <w:rsid w:val="001554AD"/>
    <w:rsid w:val="00155B94"/>
    <w:rsid w:val="001600D8"/>
    <w:rsid w:val="0016044B"/>
    <w:rsid w:val="00162191"/>
    <w:rsid w:val="0016400B"/>
    <w:rsid w:val="00165C1E"/>
    <w:rsid w:val="00166A05"/>
    <w:rsid w:val="00170E18"/>
    <w:rsid w:val="00172541"/>
    <w:rsid w:val="00182F39"/>
    <w:rsid w:val="00187DF7"/>
    <w:rsid w:val="001A3D7C"/>
    <w:rsid w:val="001A51D8"/>
    <w:rsid w:val="001A5B41"/>
    <w:rsid w:val="001A7A44"/>
    <w:rsid w:val="001B017B"/>
    <w:rsid w:val="001B04D1"/>
    <w:rsid w:val="001B1637"/>
    <w:rsid w:val="001B1D05"/>
    <w:rsid w:val="001B2176"/>
    <w:rsid w:val="001B36FA"/>
    <w:rsid w:val="001B5BD5"/>
    <w:rsid w:val="001C3170"/>
    <w:rsid w:val="001C55E6"/>
    <w:rsid w:val="001D0AA4"/>
    <w:rsid w:val="001D1BF2"/>
    <w:rsid w:val="001D44B0"/>
    <w:rsid w:val="001D55C0"/>
    <w:rsid w:val="001D675F"/>
    <w:rsid w:val="001E04F2"/>
    <w:rsid w:val="001E1DB8"/>
    <w:rsid w:val="001E2606"/>
    <w:rsid w:val="001E516B"/>
    <w:rsid w:val="001E56FE"/>
    <w:rsid w:val="001F0F10"/>
    <w:rsid w:val="001F2766"/>
    <w:rsid w:val="001F7A6B"/>
    <w:rsid w:val="00201B68"/>
    <w:rsid w:val="00204292"/>
    <w:rsid w:val="0020432F"/>
    <w:rsid w:val="00205F2A"/>
    <w:rsid w:val="00207FBE"/>
    <w:rsid w:val="002112A6"/>
    <w:rsid w:val="0021777D"/>
    <w:rsid w:val="00222CCD"/>
    <w:rsid w:val="0022668B"/>
    <w:rsid w:val="00226F39"/>
    <w:rsid w:val="002308EE"/>
    <w:rsid w:val="0023133C"/>
    <w:rsid w:val="00232F9E"/>
    <w:rsid w:val="00234CD6"/>
    <w:rsid w:val="00235319"/>
    <w:rsid w:val="00241537"/>
    <w:rsid w:val="0024221E"/>
    <w:rsid w:val="00246402"/>
    <w:rsid w:val="00247FF7"/>
    <w:rsid w:val="00253BF9"/>
    <w:rsid w:val="00257C2B"/>
    <w:rsid w:val="002619AA"/>
    <w:rsid w:val="00261B96"/>
    <w:rsid w:val="00262498"/>
    <w:rsid w:val="00262914"/>
    <w:rsid w:val="002634F4"/>
    <w:rsid w:val="00264FEE"/>
    <w:rsid w:val="00266B5F"/>
    <w:rsid w:val="0027038F"/>
    <w:rsid w:val="0027290B"/>
    <w:rsid w:val="00274343"/>
    <w:rsid w:val="002743E0"/>
    <w:rsid w:val="00280BF3"/>
    <w:rsid w:val="002838EF"/>
    <w:rsid w:val="002852AD"/>
    <w:rsid w:val="0028692D"/>
    <w:rsid w:val="00292E2C"/>
    <w:rsid w:val="002950A5"/>
    <w:rsid w:val="002A6795"/>
    <w:rsid w:val="002B4C60"/>
    <w:rsid w:val="002B4F19"/>
    <w:rsid w:val="002C2175"/>
    <w:rsid w:val="002C6982"/>
    <w:rsid w:val="002C79AF"/>
    <w:rsid w:val="002D320F"/>
    <w:rsid w:val="002D7D5C"/>
    <w:rsid w:val="002E1269"/>
    <w:rsid w:val="002E2186"/>
    <w:rsid w:val="002E63E9"/>
    <w:rsid w:val="002E734F"/>
    <w:rsid w:val="002F1306"/>
    <w:rsid w:val="003017A7"/>
    <w:rsid w:val="003025E7"/>
    <w:rsid w:val="00311B94"/>
    <w:rsid w:val="003120CE"/>
    <w:rsid w:val="00314920"/>
    <w:rsid w:val="00323BE7"/>
    <w:rsid w:val="00323D95"/>
    <w:rsid w:val="003369FE"/>
    <w:rsid w:val="00337267"/>
    <w:rsid w:val="003412BD"/>
    <w:rsid w:val="003422F3"/>
    <w:rsid w:val="0034426F"/>
    <w:rsid w:val="003449A0"/>
    <w:rsid w:val="00345952"/>
    <w:rsid w:val="00350E12"/>
    <w:rsid w:val="003524D0"/>
    <w:rsid w:val="00356B5F"/>
    <w:rsid w:val="00362BA7"/>
    <w:rsid w:val="00365B82"/>
    <w:rsid w:val="0036615A"/>
    <w:rsid w:val="003707A6"/>
    <w:rsid w:val="00371054"/>
    <w:rsid w:val="00371F4C"/>
    <w:rsid w:val="0037215F"/>
    <w:rsid w:val="003809D6"/>
    <w:rsid w:val="00381C6A"/>
    <w:rsid w:val="003825BE"/>
    <w:rsid w:val="00393599"/>
    <w:rsid w:val="0039643D"/>
    <w:rsid w:val="00396B82"/>
    <w:rsid w:val="00397E79"/>
    <w:rsid w:val="003A2915"/>
    <w:rsid w:val="003A503B"/>
    <w:rsid w:val="003A7A4E"/>
    <w:rsid w:val="003A7CB0"/>
    <w:rsid w:val="003A7D10"/>
    <w:rsid w:val="003B079F"/>
    <w:rsid w:val="003B2CC6"/>
    <w:rsid w:val="003B3DE8"/>
    <w:rsid w:val="003B6C60"/>
    <w:rsid w:val="003C3635"/>
    <w:rsid w:val="003C5A56"/>
    <w:rsid w:val="003D12CA"/>
    <w:rsid w:val="003D1E0E"/>
    <w:rsid w:val="003D48D8"/>
    <w:rsid w:val="003E4045"/>
    <w:rsid w:val="003E4720"/>
    <w:rsid w:val="003E5164"/>
    <w:rsid w:val="003E5549"/>
    <w:rsid w:val="003F759C"/>
    <w:rsid w:val="004039F1"/>
    <w:rsid w:val="004043A6"/>
    <w:rsid w:val="00405653"/>
    <w:rsid w:val="004171AF"/>
    <w:rsid w:val="00417D7A"/>
    <w:rsid w:val="00420DE9"/>
    <w:rsid w:val="00426F95"/>
    <w:rsid w:val="00437279"/>
    <w:rsid w:val="00442C43"/>
    <w:rsid w:val="004439BA"/>
    <w:rsid w:val="00450EA6"/>
    <w:rsid w:val="00452258"/>
    <w:rsid w:val="00460535"/>
    <w:rsid w:val="0046294B"/>
    <w:rsid w:val="004637A4"/>
    <w:rsid w:val="00472455"/>
    <w:rsid w:val="00480A8C"/>
    <w:rsid w:val="00483C1F"/>
    <w:rsid w:val="00497B5D"/>
    <w:rsid w:val="004A4D69"/>
    <w:rsid w:val="004B174D"/>
    <w:rsid w:val="004B2BD6"/>
    <w:rsid w:val="004B4DA4"/>
    <w:rsid w:val="004B7805"/>
    <w:rsid w:val="004C19E2"/>
    <w:rsid w:val="004E0E42"/>
    <w:rsid w:val="004E1EFF"/>
    <w:rsid w:val="004E2D50"/>
    <w:rsid w:val="004E7DFB"/>
    <w:rsid w:val="00510631"/>
    <w:rsid w:val="0051245C"/>
    <w:rsid w:val="00512E92"/>
    <w:rsid w:val="00513C0A"/>
    <w:rsid w:val="005205D6"/>
    <w:rsid w:val="0052435A"/>
    <w:rsid w:val="00532351"/>
    <w:rsid w:val="00532C18"/>
    <w:rsid w:val="00535877"/>
    <w:rsid w:val="005409FB"/>
    <w:rsid w:val="005412A4"/>
    <w:rsid w:val="0054535C"/>
    <w:rsid w:val="00545478"/>
    <w:rsid w:val="00547DAE"/>
    <w:rsid w:val="00550A41"/>
    <w:rsid w:val="00550EFC"/>
    <w:rsid w:val="005543F8"/>
    <w:rsid w:val="00554943"/>
    <w:rsid w:val="00554E4B"/>
    <w:rsid w:val="005554BA"/>
    <w:rsid w:val="005556E7"/>
    <w:rsid w:val="005651A4"/>
    <w:rsid w:val="00567F17"/>
    <w:rsid w:val="00576109"/>
    <w:rsid w:val="00576701"/>
    <w:rsid w:val="00577DCE"/>
    <w:rsid w:val="005802E6"/>
    <w:rsid w:val="005863F5"/>
    <w:rsid w:val="00590113"/>
    <w:rsid w:val="0059586F"/>
    <w:rsid w:val="005A375E"/>
    <w:rsid w:val="005A6C26"/>
    <w:rsid w:val="005B218C"/>
    <w:rsid w:val="005B511B"/>
    <w:rsid w:val="005B720A"/>
    <w:rsid w:val="005C273A"/>
    <w:rsid w:val="005D2E97"/>
    <w:rsid w:val="005D3213"/>
    <w:rsid w:val="005D427D"/>
    <w:rsid w:val="005D507B"/>
    <w:rsid w:val="005E15B3"/>
    <w:rsid w:val="005E705E"/>
    <w:rsid w:val="005E7FCF"/>
    <w:rsid w:val="005F4738"/>
    <w:rsid w:val="00603273"/>
    <w:rsid w:val="00605222"/>
    <w:rsid w:val="00617D03"/>
    <w:rsid w:val="00624CA1"/>
    <w:rsid w:val="00626672"/>
    <w:rsid w:val="006300B5"/>
    <w:rsid w:val="00630453"/>
    <w:rsid w:val="006409FD"/>
    <w:rsid w:val="00642082"/>
    <w:rsid w:val="00643E62"/>
    <w:rsid w:val="00665D5F"/>
    <w:rsid w:val="0066672E"/>
    <w:rsid w:val="00673332"/>
    <w:rsid w:val="00673BC2"/>
    <w:rsid w:val="00674CB1"/>
    <w:rsid w:val="00675C9D"/>
    <w:rsid w:val="00675E26"/>
    <w:rsid w:val="00677E7A"/>
    <w:rsid w:val="006821D1"/>
    <w:rsid w:val="006822D3"/>
    <w:rsid w:val="00686360"/>
    <w:rsid w:val="006903AF"/>
    <w:rsid w:val="00691E1E"/>
    <w:rsid w:val="00692251"/>
    <w:rsid w:val="006A0D9C"/>
    <w:rsid w:val="006A23BE"/>
    <w:rsid w:val="006A5868"/>
    <w:rsid w:val="006A7C5A"/>
    <w:rsid w:val="006B46D3"/>
    <w:rsid w:val="006C1156"/>
    <w:rsid w:val="006C2E56"/>
    <w:rsid w:val="006C405D"/>
    <w:rsid w:val="006D7CE6"/>
    <w:rsid w:val="006E489A"/>
    <w:rsid w:val="006E4A9D"/>
    <w:rsid w:val="006F50DA"/>
    <w:rsid w:val="006F73E8"/>
    <w:rsid w:val="007043D8"/>
    <w:rsid w:val="00705A49"/>
    <w:rsid w:val="0070647B"/>
    <w:rsid w:val="00706606"/>
    <w:rsid w:val="00707AA7"/>
    <w:rsid w:val="00717872"/>
    <w:rsid w:val="00717AF0"/>
    <w:rsid w:val="007221BB"/>
    <w:rsid w:val="00731858"/>
    <w:rsid w:val="00742C77"/>
    <w:rsid w:val="007445FF"/>
    <w:rsid w:val="007473F6"/>
    <w:rsid w:val="007508C5"/>
    <w:rsid w:val="00760DB7"/>
    <w:rsid w:val="007623B1"/>
    <w:rsid w:val="007649BC"/>
    <w:rsid w:val="00770E56"/>
    <w:rsid w:val="0078602C"/>
    <w:rsid w:val="007865E9"/>
    <w:rsid w:val="00787A04"/>
    <w:rsid w:val="00792E9E"/>
    <w:rsid w:val="007941AE"/>
    <w:rsid w:val="007A2378"/>
    <w:rsid w:val="007A386A"/>
    <w:rsid w:val="007A53A0"/>
    <w:rsid w:val="007A5B37"/>
    <w:rsid w:val="007B07CA"/>
    <w:rsid w:val="007C6694"/>
    <w:rsid w:val="007D004C"/>
    <w:rsid w:val="007D3706"/>
    <w:rsid w:val="007D5378"/>
    <w:rsid w:val="007D6DFF"/>
    <w:rsid w:val="007E12E7"/>
    <w:rsid w:val="007E430C"/>
    <w:rsid w:val="007E4D3A"/>
    <w:rsid w:val="007E6439"/>
    <w:rsid w:val="007E7568"/>
    <w:rsid w:val="007F62E2"/>
    <w:rsid w:val="007F7E74"/>
    <w:rsid w:val="00801C2B"/>
    <w:rsid w:val="00803920"/>
    <w:rsid w:val="00804A74"/>
    <w:rsid w:val="008070E0"/>
    <w:rsid w:val="00810AE1"/>
    <w:rsid w:val="00812D89"/>
    <w:rsid w:val="0081613D"/>
    <w:rsid w:val="00816796"/>
    <w:rsid w:val="008167C6"/>
    <w:rsid w:val="00820307"/>
    <w:rsid w:val="00827A7A"/>
    <w:rsid w:val="008300FA"/>
    <w:rsid w:val="00837040"/>
    <w:rsid w:val="0083783F"/>
    <w:rsid w:val="0084525E"/>
    <w:rsid w:val="00855DBE"/>
    <w:rsid w:val="0085636F"/>
    <w:rsid w:val="00860794"/>
    <w:rsid w:val="00885DF0"/>
    <w:rsid w:val="008931ED"/>
    <w:rsid w:val="0089443D"/>
    <w:rsid w:val="00894D2B"/>
    <w:rsid w:val="00895989"/>
    <w:rsid w:val="00895A66"/>
    <w:rsid w:val="00897D53"/>
    <w:rsid w:val="008A0931"/>
    <w:rsid w:val="008A1F7F"/>
    <w:rsid w:val="008C2DC8"/>
    <w:rsid w:val="008D14EC"/>
    <w:rsid w:val="008D49BC"/>
    <w:rsid w:val="008D543F"/>
    <w:rsid w:val="008F5C36"/>
    <w:rsid w:val="008F6DA3"/>
    <w:rsid w:val="009039A4"/>
    <w:rsid w:val="009046B2"/>
    <w:rsid w:val="009120F2"/>
    <w:rsid w:val="00913628"/>
    <w:rsid w:val="009139AE"/>
    <w:rsid w:val="0092176E"/>
    <w:rsid w:val="0092450D"/>
    <w:rsid w:val="009337BF"/>
    <w:rsid w:val="00934D1D"/>
    <w:rsid w:val="009372FF"/>
    <w:rsid w:val="009417F8"/>
    <w:rsid w:val="00946B64"/>
    <w:rsid w:val="00950D92"/>
    <w:rsid w:val="00952B4F"/>
    <w:rsid w:val="00956F11"/>
    <w:rsid w:val="0096267B"/>
    <w:rsid w:val="00963743"/>
    <w:rsid w:val="00965E5D"/>
    <w:rsid w:val="00966CF6"/>
    <w:rsid w:val="009760DF"/>
    <w:rsid w:val="0098510A"/>
    <w:rsid w:val="00990A10"/>
    <w:rsid w:val="00994071"/>
    <w:rsid w:val="00995AB1"/>
    <w:rsid w:val="00997C5A"/>
    <w:rsid w:val="009A0F83"/>
    <w:rsid w:val="009A694A"/>
    <w:rsid w:val="009C0399"/>
    <w:rsid w:val="009C2371"/>
    <w:rsid w:val="009C6BD7"/>
    <w:rsid w:val="009E3649"/>
    <w:rsid w:val="009E44F0"/>
    <w:rsid w:val="009E48A3"/>
    <w:rsid w:val="009F11DF"/>
    <w:rsid w:val="009F233E"/>
    <w:rsid w:val="009F4644"/>
    <w:rsid w:val="00A03C7B"/>
    <w:rsid w:val="00A10D32"/>
    <w:rsid w:val="00A11335"/>
    <w:rsid w:val="00A27905"/>
    <w:rsid w:val="00A512AD"/>
    <w:rsid w:val="00A63C6A"/>
    <w:rsid w:val="00A6518C"/>
    <w:rsid w:val="00A7117A"/>
    <w:rsid w:val="00A73D0D"/>
    <w:rsid w:val="00A75AC7"/>
    <w:rsid w:val="00A83340"/>
    <w:rsid w:val="00A8475F"/>
    <w:rsid w:val="00A85248"/>
    <w:rsid w:val="00A8689E"/>
    <w:rsid w:val="00A976BA"/>
    <w:rsid w:val="00AA3198"/>
    <w:rsid w:val="00AB7E19"/>
    <w:rsid w:val="00AC1667"/>
    <w:rsid w:val="00AC54D6"/>
    <w:rsid w:val="00AD5594"/>
    <w:rsid w:val="00AE14B0"/>
    <w:rsid w:val="00AE4BF3"/>
    <w:rsid w:val="00AE5972"/>
    <w:rsid w:val="00AF12A0"/>
    <w:rsid w:val="00B079A2"/>
    <w:rsid w:val="00B15524"/>
    <w:rsid w:val="00B32184"/>
    <w:rsid w:val="00B35220"/>
    <w:rsid w:val="00B40AC1"/>
    <w:rsid w:val="00B428A6"/>
    <w:rsid w:val="00B4353C"/>
    <w:rsid w:val="00B52199"/>
    <w:rsid w:val="00B64CC7"/>
    <w:rsid w:val="00B7158C"/>
    <w:rsid w:val="00B72B2F"/>
    <w:rsid w:val="00B82594"/>
    <w:rsid w:val="00B83416"/>
    <w:rsid w:val="00B8710E"/>
    <w:rsid w:val="00B872FB"/>
    <w:rsid w:val="00B96188"/>
    <w:rsid w:val="00BA4D6A"/>
    <w:rsid w:val="00BB06B1"/>
    <w:rsid w:val="00BB6B73"/>
    <w:rsid w:val="00BB77AC"/>
    <w:rsid w:val="00BC5F85"/>
    <w:rsid w:val="00BC75EB"/>
    <w:rsid w:val="00BC7F76"/>
    <w:rsid w:val="00BD099D"/>
    <w:rsid w:val="00BD1CAA"/>
    <w:rsid w:val="00BD2D3E"/>
    <w:rsid w:val="00BD3DCA"/>
    <w:rsid w:val="00BE13B6"/>
    <w:rsid w:val="00BE1E89"/>
    <w:rsid w:val="00BF4C58"/>
    <w:rsid w:val="00BF7429"/>
    <w:rsid w:val="00BF77E2"/>
    <w:rsid w:val="00C023FA"/>
    <w:rsid w:val="00C0677D"/>
    <w:rsid w:val="00C168B3"/>
    <w:rsid w:val="00C227A8"/>
    <w:rsid w:val="00C22D88"/>
    <w:rsid w:val="00C23D46"/>
    <w:rsid w:val="00C23E57"/>
    <w:rsid w:val="00C254A3"/>
    <w:rsid w:val="00C352F3"/>
    <w:rsid w:val="00C3651C"/>
    <w:rsid w:val="00C47711"/>
    <w:rsid w:val="00C5011A"/>
    <w:rsid w:val="00C5118E"/>
    <w:rsid w:val="00C55C37"/>
    <w:rsid w:val="00C60D28"/>
    <w:rsid w:val="00C616F9"/>
    <w:rsid w:val="00C67478"/>
    <w:rsid w:val="00C7050C"/>
    <w:rsid w:val="00C707A3"/>
    <w:rsid w:val="00C7080E"/>
    <w:rsid w:val="00C750ED"/>
    <w:rsid w:val="00C81296"/>
    <w:rsid w:val="00C827E5"/>
    <w:rsid w:val="00C85112"/>
    <w:rsid w:val="00C85325"/>
    <w:rsid w:val="00C85F40"/>
    <w:rsid w:val="00C86846"/>
    <w:rsid w:val="00C86CE1"/>
    <w:rsid w:val="00C871CD"/>
    <w:rsid w:val="00C915AA"/>
    <w:rsid w:val="00C93189"/>
    <w:rsid w:val="00C95F9B"/>
    <w:rsid w:val="00CA188A"/>
    <w:rsid w:val="00CA46A3"/>
    <w:rsid w:val="00CA7319"/>
    <w:rsid w:val="00CB0392"/>
    <w:rsid w:val="00CB4495"/>
    <w:rsid w:val="00CB70C4"/>
    <w:rsid w:val="00CB7F1B"/>
    <w:rsid w:val="00CC39DC"/>
    <w:rsid w:val="00CD0DE8"/>
    <w:rsid w:val="00CD558A"/>
    <w:rsid w:val="00CD5DEA"/>
    <w:rsid w:val="00CD6A5C"/>
    <w:rsid w:val="00CF48EA"/>
    <w:rsid w:val="00D001B1"/>
    <w:rsid w:val="00D077CA"/>
    <w:rsid w:val="00D10373"/>
    <w:rsid w:val="00D1677F"/>
    <w:rsid w:val="00D23F34"/>
    <w:rsid w:val="00D262CE"/>
    <w:rsid w:val="00D36DCD"/>
    <w:rsid w:val="00D41C85"/>
    <w:rsid w:val="00D42814"/>
    <w:rsid w:val="00D443ED"/>
    <w:rsid w:val="00D444F2"/>
    <w:rsid w:val="00D45B17"/>
    <w:rsid w:val="00D4626B"/>
    <w:rsid w:val="00D50F4E"/>
    <w:rsid w:val="00D52095"/>
    <w:rsid w:val="00D558CD"/>
    <w:rsid w:val="00D57356"/>
    <w:rsid w:val="00D609CC"/>
    <w:rsid w:val="00D65697"/>
    <w:rsid w:val="00D70CE4"/>
    <w:rsid w:val="00D71500"/>
    <w:rsid w:val="00D728C4"/>
    <w:rsid w:val="00D8154D"/>
    <w:rsid w:val="00D83898"/>
    <w:rsid w:val="00D84DBC"/>
    <w:rsid w:val="00D922D7"/>
    <w:rsid w:val="00D94D65"/>
    <w:rsid w:val="00DA43E7"/>
    <w:rsid w:val="00DA6483"/>
    <w:rsid w:val="00DB1FE3"/>
    <w:rsid w:val="00DB2028"/>
    <w:rsid w:val="00DB6AAF"/>
    <w:rsid w:val="00DC1D11"/>
    <w:rsid w:val="00DC5254"/>
    <w:rsid w:val="00DC5EAF"/>
    <w:rsid w:val="00DD1806"/>
    <w:rsid w:val="00DD5041"/>
    <w:rsid w:val="00DE1EEB"/>
    <w:rsid w:val="00DE3135"/>
    <w:rsid w:val="00DE58F0"/>
    <w:rsid w:val="00DE6351"/>
    <w:rsid w:val="00DE63CB"/>
    <w:rsid w:val="00DE6FD6"/>
    <w:rsid w:val="00DF24F4"/>
    <w:rsid w:val="00DF3A1E"/>
    <w:rsid w:val="00DF74BA"/>
    <w:rsid w:val="00E031B5"/>
    <w:rsid w:val="00E11FCD"/>
    <w:rsid w:val="00E20C50"/>
    <w:rsid w:val="00E21A98"/>
    <w:rsid w:val="00E26D8B"/>
    <w:rsid w:val="00E36ADF"/>
    <w:rsid w:val="00E370D8"/>
    <w:rsid w:val="00E46EA0"/>
    <w:rsid w:val="00E50C50"/>
    <w:rsid w:val="00E544E6"/>
    <w:rsid w:val="00E71E2D"/>
    <w:rsid w:val="00E806AB"/>
    <w:rsid w:val="00E82F58"/>
    <w:rsid w:val="00E85498"/>
    <w:rsid w:val="00E96A74"/>
    <w:rsid w:val="00EA70D3"/>
    <w:rsid w:val="00EB0DFD"/>
    <w:rsid w:val="00EB1F41"/>
    <w:rsid w:val="00EB2546"/>
    <w:rsid w:val="00EC0A0E"/>
    <w:rsid w:val="00EC12EB"/>
    <w:rsid w:val="00EC459E"/>
    <w:rsid w:val="00EC6886"/>
    <w:rsid w:val="00ED0B71"/>
    <w:rsid w:val="00ED2134"/>
    <w:rsid w:val="00EE0935"/>
    <w:rsid w:val="00EF129E"/>
    <w:rsid w:val="00EF1CD1"/>
    <w:rsid w:val="00EF1FD4"/>
    <w:rsid w:val="00EF77EC"/>
    <w:rsid w:val="00EF7B18"/>
    <w:rsid w:val="00F036EC"/>
    <w:rsid w:val="00F06A57"/>
    <w:rsid w:val="00F134A6"/>
    <w:rsid w:val="00F13A2B"/>
    <w:rsid w:val="00F305AE"/>
    <w:rsid w:val="00F30EAB"/>
    <w:rsid w:val="00F31819"/>
    <w:rsid w:val="00F3356A"/>
    <w:rsid w:val="00F5067C"/>
    <w:rsid w:val="00F55A67"/>
    <w:rsid w:val="00F66686"/>
    <w:rsid w:val="00F7060D"/>
    <w:rsid w:val="00F74D4D"/>
    <w:rsid w:val="00F8011D"/>
    <w:rsid w:val="00F836E2"/>
    <w:rsid w:val="00F91BCA"/>
    <w:rsid w:val="00F92833"/>
    <w:rsid w:val="00F92B83"/>
    <w:rsid w:val="00FB0F8E"/>
    <w:rsid w:val="00FB3E70"/>
    <w:rsid w:val="00FB3E83"/>
    <w:rsid w:val="00FB568B"/>
    <w:rsid w:val="00FC1644"/>
    <w:rsid w:val="00FD1645"/>
    <w:rsid w:val="00FD58CD"/>
    <w:rsid w:val="00FD77A8"/>
    <w:rsid w:val="00FE2C18"/>
    <w:rsid w:val="00FE634E"/>
    <w:rsid w:val="00FE7D1E"/>
    <w:rsid w:val="00FF0527"/>
    <w:rsid w:val="00FF1400"/>
    <w:rsid w:val="00FF1796"/>
    <w:rsid w:val="00FF64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730C9"/>
  <w15:docId w15:val="{1DEAB793-76D6-44FF-9D8E-E59E78CE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paragraph" w:styleId="EndnoteText">
    <w:name w:val="endnote text"/>
    <w:basedOn w:val="Normal"/>
    <w:link w:val="EndnoteTextChar"/>
    <w:uiPriority w:val="99"/>
    <w:semiHidden/>
    <w:unhideWhenUsed/>
    <w:rsid w:val="00CA188A"/>
    <w:pPr>
      <w:spacing w:before="0" w:after="0" w:line="240" w:lineRule="auto"/>
    </w:pPr>
    <w:rPr>
      <w:rFonts w:asciiTheme="minorHAnsi" w:eastAsiaTheme="minorHAnsi" w:hAnsiTheme="minorHAnsi" w:cstheme="minorBidi"/>
      <w:color w:val="auto"/>
      <w:kern w:val="2"/>
      <w:szCs w:val="20"/>
      <w:lang w:eastAsia="en-US"/>
      <w14:ligatures w14:val="standardContextual"/>
    </w:rPr>
  </w:style>
  <w:style w:type="character" w:customStyle="1" w:styleId="EndnoteTextChar">
    <w:name w:val="Endnote Text Char"/>
    <w:basedOn w:val="DefaultParagraphFont"/>
    <w:link w:val="EndnoteText"/>
    <w:uiPriority w:val="99"/>
    <w:semiHidden/>
    <w:rsid w:val="00CA188A"/>
    <w:rPr>
      <w:rFonts w:eastAsiaTheme="minorHAnsi" w:cstheme="minorBidi"/>
      <w:color w:val="auto"/>
      <w:kern w:val="2"/>
      <w:sz w:val="20"/>
      <w:szCs w:val="20"/>
      <w:lang w:eastAsia="en-US"/>
      <w14:ligatures w14:val="standardContextual"/>
    </w:rPr>
  </w:style>
  <w:style w:type="character" w:styleId="EndnoteReference">
    <w:name w:val="endnote reference"/>
    <w:basedOn w:val="DefaultParagraphFont"/>
    <w:uiPriority w:val="99"/>
    <w:semiHidden/>
    <w:unhideWhenUsed/>
    <w:rsid w:val="00CA188A"/>
    <w:rPr>
      <w:vertAlign w:val="superscript"/>
    </w:rPr>
  </w:style>
  <w:style w:type="paragraph" w:styleId="NormalWeb">
    <w:name w:val="Normal (Web)"/>
    <w:basedOn w:val="Normal"/>
    <w:semiHidden/>
    <w:unhideWhenUsed/>
    <w:rsid w:val="00170E18"/>
    <w:rPr>
      <w:rFonts w:ascii="Times New Roman" w:hAnsi="Times New Roman"/>
      <w:sz w:val="24"/>
      <w:szCs w:val="24"/>
    </w:rPr>
  </w:style>
  <w:style w:type="character" w:styleId="CommentReference">
    <w:name w:val="annotation reference"/>
    <w:basedOn w:val="DefaultParagraphFont"/>
    <w:uiPriority w:val="99"/>
    <w:semiHidden/>
    <w:unhideWhenUsed/>
    <w:rsid w:val="005205D6"/>
    <w:rPr>
      <w:sz w:val="16"/>
      <w:szCs w:val="16"/>
    </w:rPr>
  </w:style>
  <w:style w:type="paragraph" w:styleId="CommentText">
    <w:name w:val="annotation text"/>
    <w:basedOn w:val="Normal"/>
    <w:link w:val="CommentTextChar"/>
    <w:uiPriority w:val="99"/>
    <w:unhideWhenUsed/>
    <w:rsid w:val="005205D6"/>
    <w:pPr>
      <w:spacing w:before="0" w:after="160" w:line="240" w:lineRule="auto"/>
    </w:pPr>
    <w:rPr>
      <w:rFonts w:asciiTheme="minorHAnsi" w:eastAsiaTheme="minorHAnsi" w:hAnsiTheme="minorHAnsi" w:cstheme="minorBidi"/>
      <w:color w:val="auto"/>
      <w:kern w:val="2"/>
      <w:szCs w:val="20"/>
      <w:lang w:eastAsia="en-US"/>
      <w14:ligatures w14:val="standardContextual"/>
    </w:rPr>
  </w:style>
  <w:style w:type="character" w:customStyle="1" w:styleId="CommentTextChar">
    <w:name w:val="Comment Text Char"/>
    <w:basedOn w:val="DefaultParagraphFont"/>
    <w:link w:val="CommentText"/>
    <w:uiPriority w:val="99"/>
    <w:rsid w:val="005205D6"/>
    <w:rPr>
      <w:rFonts w:eastAsiaTheme="minorHAnsi" w:cstheme="minorBidi"/>
      <w:color w:val="auto"/>
      <w:kern w:val="2"/>
      <w:sz w:val="20"/>
      <w:szCs w:val="20"/>
      <w:lang w:eastAsia="en-US"/>
      <w14:ligatures w14:val="standardContextual"/>
    </w:rPr>
  </w:style>
  <w:style w:type="paragraph" w:styleId="Revision">
    <w:name w:val="Revision"/>
    <w:hidden/>
    <w:uiPriority w:val="99"/>
    <w:semiHidden/>
    <w:rsid w:val="00952B4F"/>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nsformus.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186/s12966-024-01560-3" TargetMode="External"/><Relationship Id="rId2" Type="http://schemas.openxmlformats.org/officeDocument/2006/relationships/hyperlink" Target="https://doi.org/10.1136/bjsports-2022-105825" TargetMode="External"/><Relationship Id="rId1" Type="http://schemas.openxmlformats.org/officeDocument/2006/relationships/hyperlink" Target="https://doi.org/10.1038/sj.ijo.0803805" TargetMode="External"/><Relationship Id="rId6" Type="http://schemas.openxmlformats.org/officeDocument/2006/relationships/hyperlink" Target="https://doi.org/10.1787/f534b2d0-en" TargetMode="External"/><Relationship Id="rId5" Type="http://schemas.openxmlformats.org/officeDocument/2006/relationships/hyperlink" Target="https://doi.org/10.3389/feduc.2023.1093234" TargetMode="External"/><Relationship Id="rId4" Type="http://schemas.openxmlformats.org/officeDocument/2006/relationships/hyperlink" Target="https://doi.org/10.1136/bmjopen-2023-0784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RESTRANS-460161335-13271</_dlc_DocId>
    <_dlc_DocIdUrl xmlns="ef8499da-f70f-48c9-a6de-e578977a26c0">
      <Url>https://nhmrc.sharepoint.com/sites/restrans/_layouts/15/DocIdRedir.aspx?ID=RESTRANS-460161335-13271</Url>
      <Description>RESTRANS-460161335-13271</Description>
    </_dlc_DocIdUrl>
    <_dlc_DocIdPersistId xmlns="ef8499da-f70f-48c9-a6de-e578977a26c0">false</_dlc_DocIdPersistId>
    <RTStrategy xmlns="9a68d8fb-8d6a-4c64-be9d-45c421871349" xsi:nil="true"/>
    <_ip_UnifiedCompliancePolicyUIAction xmlns="http://schemas.microsoft.com/sharepoint/v3" xsi:nil="true"/>
    <lcf76f155ced4ddcb4097134ff3c332f xmlns="9a68d8fb-8d6a-4c64-be9d-45c421871349">
      <Terms xmlns="http://schemas.microsoft.com/office/infopath/2007/PartnerControls"/>
    </lcf76f155ced4ddcb4097134ff3c332f>
    <_ip_UnifiedCompliancePolicyProperties xmlns="http://schemas.microsoft.com/sharepoint/v3" xsi:nil="true"/>
    <Notes xmlns="9a68d8fb-8d6a-4c64-be9d-45c421871349">254</Notes>
    <TaxCatchAll xmlns="ef8499da-f70f-48c9-a6de-e578977a26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6F099A69591A4F802C2BF631935F16" ma:contentTypeVersion="21" ma:contentTypeDescription="Create a new document." ma:contentTypeScope="" ma:versionID="c51300f5fc535f3683ed3eee4e6121cc">
  <xsd:schema xmlns:xsd="http://www.w3.org/2001/XMLSchema" xmlns:xs="http://www.w3.org/2001/XMLSchema" xmlns:p="http://schemas.microsoft.com/office/2006/metadata/properties" xmlns:ns1="http://schemas.microsoft.com/sharepoint/v3" xmlns:ns2="ef8499da-f70f-48c9-a6de-e578977a26c0" xmlns:ns3="9a68d8fb-8d6a-4c64-be9d-45c421871349" targetNamespace="http://schemas.microsoft.com/office/2006/metadata/properties" ma:root="true" ma:fieldsID="4fdcd6808bd1928fd592f9acefc2d75d" ns1:_="" ns2:_="" ns3:_="">
    <xsd:import namespace="http://schemas.microsoft.com/sharepoint/v3"/>
    <xsd:import namespace="ef8499da-f70f-48c9-a6de-e578977a26c0"/>
    <xsd:import namespace="9a68d8fb-8d6a-4c64-be9d-45c4218713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RTStrategy" minOccurs="0"/>
                <xsd:element ref="ns3:MediaServiceObjectDetectorVersions" minOccurs="0"/>
                <xsd:element ref="ns3:Notes"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d8fb-8d6a-4c64-be9d-45c4218713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RTStrategy" ma:index="23" nillable="true" ma:displayName="RT Strategy" ma:description="This is the published web accessible version." ma:format="Dropdown" ma:internalName="RTStrategy">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fault="254" ma:description="Notes relevant to fil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ADFDA9-8383-43FE-ABCB-9527F45D8D51}">
  <ds:schemaRefs>
    <ds:schemaRef ds:uri="http://schemas.microsoft.com/sharepoint/v3/contenttype/forms"/>
  </ds:schemaRefs>
</ds:datastoreItem>
</file>

<file path=customXml/itemProps2.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customXml/itemProps3.xml><?xml version="1.0" encoding="utf-8"?>
<ds:datastoreItem xmlns:ds="http://schemas.openxmlformats.org/officeDocument/2006/customXml" ds:itemID="{58F98D35-E949-4B4C-B6EB-8834F1089BE6}">
  <ds:schemaRefs>
    <ds:schemaRef ds:uri="http://schemas.microsoft.com/office/2006/metadata/properties"/>
    <ds:schemaRef ds:uri="http://schemas.microsoft.com/office/infopath/2007/PartnerControls"/>
    <ds:schemaRef ds:uri="ef8499da-f70f-48c9-a6de-e578977a26c0"/>
    <ds:schemaRef ds:uri="9a68d8fb-8d6a-4c64-be9d-45c421871349"/>
    <ds:schemaRef ds:uri="http://schemas.microsoft.com/sharepoint/v3"/>
  </ds:schemaRefs>
</ds:datastoreItem>
</file>

<file path=customXml/itemProps4.xml><?xml version="1.0" encoding="utf-8"?>
<ds:datastoreItem xmlns:ds="http://schemas.openxmlformats.org/officeDocument/2006/customXml" ds:itemID="{754DF0E5-819E-4EEF-8D39-799FBEE2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9a68d8fb-8d6a-4c64-be9d-45c421871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BEE2B8-3BD0-4633-AE10-673B02D74F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0</TotalTime>
  <Pages>4</Pages>
  <Words>1024</Words>
  <Characters>6671</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TransformUs: Partnering with the education, health and sport sectors to revolutionise the Australian classroom</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TransformUs: Partnering with the education, health and sport sectors to revolutionise the Australian classroom</dc:title>
  <dc:subject/>
  <dc:creator>NHMRC</dc:creator>
  <cp:keywords/>
  <cp:lastModifiedBy>Mary Wasson</cp:lastModifiedBy>
  <cp:revision>2</cp:revision>
  <dcterms:created xsi:type="dcterms:W3CDTF">2026-07-09T04:43:00Z</dcterms:created>
  <dcterms:modified xsi:type="dcterms:W3CDTF">2026-07-09T04:43:00Z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0x010100896F099A69591A4F802C2BF631935F16</vt:lpwstr>
  </property>
  <property fmtid="{D5CDD505-2E9C-101B-9397-08002B2CF9AE}" pid="3" name="MSIP_Label_fba3502d-09f9-4350-b49d-9cee4033cd14_Enabled">
    <vt:lpwstr>true</vt:lpwstr>
  </property>
  <property fmtid="{D5CDD505-2E9C-101B-9397-08002B2CF9AE}" pid="4" name="MSIP_Label_fba3502d-09f9-4350-b49d-9cee4033cd14_SetDate">
    <vt:lpwstr>2022-10-13T06:04:02Z</vt:lpwstr>
  </property>
  <property fmtid="{D5CDD505-2E9C-101B-9397-08002B2CF9AE}" pid="5" name="MSIP_Label_fba3502d-09f9-4350-b49d-9cee4033cd14_Method">
    <vt:lpwstr>Privileged</vt:lpwstr>
  </property>
  <property fmtid="{D5CDD505-2E9C-101B-9397-08002B2CF9AE}" pid="6" name="MSIP_Label_fba3502d-09f9-4350-b49d-9cee4033cd14_Name">
    <vt:lpwstr>UNOFFICIAL</vt:lpwstr>
  </property>
  <property fmtid="{D5CDD505-2E9C-101B-9397-08002B2CF9AE}" pid="7" name="MSIP_Label_fba3502d-09f9-4350-b49d-9cee4033cd14_SiteId">
    <vt:lpwstr>402fca06-dc9c-412f-9bf9-1a335a4671f7</vt:lpwstr>
  </property>
  <property fmtid="{D5CDD505-2E9C-101B-9397-08002B2CF9AE}" pid="8" name="MSIP_Label_fba3502d-09f9-4350-b49d-9cee4033cd14_ActionId">
    <vt:lpwstr>ef7eee2f-1119-4254-8ad8-5deea4bd6f59</vt:lpwstr>
  </property>
  <property fmtid="{D5CDD505-2E9C-101B-9397-08002B2CF9AE}" pid="9" name="MSIP_Label_fba3502d-09f9-4350-b49d-9cee4033cd14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46818b9a-d909-47ab-b721-95b4c46ff92c</vt:lpwstr>
  </property>
</Properties>
</file>