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1815E" w14:textId="1E94092B" w:rsidR="00133DD8" w:rsidRDefault="004138A2" w:rsidP="004138A2">
      <w:pPr>
        <w:pStyle w:val="Heading1"/>
      </w:pPr>
      <w:r>
        <w:t>202</w:t>
      </w:r>
      <w:r w:rsidR="00216BD1">
        <w:t>6</w:t>
      </w:r>
      <w:r>
        <w:t xml:space="preserve"> Impact Case Study evaluation</w:t>
      </w:r>
    </w:p>
    <w:p w14:paraId="22FCD18F" w14:textId="5DE4AC9F" w:rsidR="00D444F2" w:rsidRPr="00637447" w:rsidRDefault="002E5B44" w:rsidP="00D444F2">
      <w:pPr>
        <w:rPr>
          <w:sz w:val="28"/>
          <w:szCs w:val="24"/>
        </w:rPr>
      </w:pPr>
      <w:r>
        <w:rPr>
          <w:sz w:val="28"/>
          <w:szCs w:val="24"/>
        </w:rPr>
        <w:t>6</w:t>
      </w:r>
      <w:r w:rsidR="00C02D64">
        <w:rPr>
          <w:sz w:val="28"/>
          <w:szCs w:val="24"/>
        </w:rPr>
        <w:t xml:space="preserve"> </w:t>
      </w:r>
      <w:r>
        <w:rPr>
          <w:sz w:val="28"/>
          <w:szCs w:val="24"/>
        </w:rPr>
        <w:t>May</w:t>
      </w:r>
      <w:r w:rsidR="00216BD1">
        <w:rPr>
          <w:sz w:val="28"/>
          <w:szCs w:val="24"/>
        </w:rPr>
        <w:t xml:space="preserve"> 2</w:t>
      </w:r>
      <w:r w:rsidR="005D5FEC" w:rsidRPr="00637447">
        <w:rPr>
          <w:sz w:val="28"/>
          <w:szCs w:val="24"/>
        </w:rPr>
        <w:t>02</w:t>
      </w:r>
      <w:r w:rsidR="00216BD1">
        <w:rPr>
          <w:sz w:val="28"/>
          <w:szCs w:val="24"/>
        </w:rPr>
        <w:t>6</w:t>
      </w:r>
    </w:p>
    <w:p w14:paraId="58002FB1" w14:textId="2B1A36ED" w:rsidR="00950D92" w:rsidRDefault="000F1621" w:rsidP="000F1621">
      <w:pPr>
        <w:jc w:val="center"/>
      </w:pPr>
      <w:r>
        <w:rPr>
          <w:noProof/>
        </w:rPr>
        <w:drawing>
          <wp:inline distT="0" distB="0" distL="0" distR="0" wp14:anchorId="27B9EDDA" wp14:editId="758E225A">
            <wp:extent cx="4537761" cy="4896090"/>
            <wp:effectExtent l="0" t="0" r="0" b="0"/>
            <wp:docPr id="1916191392" name="Picture 1" descr="A word cloud image showing the phrases most frequently found in NHMRC Impact Cas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191392" name="Picture 1" descr="A word cloud image showing the phrases most frequently found in NHMRC Impact Case Studies"/>
                    <pic:cNvPicPr/>
                  </pic:nvPicPr>
                  <pic:blipFill>
                    <a:blip r:embed="rId8"/>
                    <a:stretch>
                      <a:fillRect/>
                    </a:stretch>
                  </pic:blipFill>
                  <pic:spPr>
                    <a:xfrm>
                      <a:off x="0" y="0"/>
                      <a:ext cx="4578100" cy="4939614"/>
                    </a:xfrm>
                    <a:prstGeom prst="rect">
                      <a:avLst/>
                    </a:prstGeom>
                  </pic:spPr>
                </pic:pic>
              </a:graphicData>
            </a:graphic>
          </wp:inline>
        </w:drawing>
      </w:r>
      <w:r w:rsidR="00BF7429">
        <w:br w:type="page"/>
      </w:r>
    </w:p>
    <w:p w14:paraId="1A3283DA" w14:textId="77777777" w:rsidR="00950D92" w:rsidRDefault="00BF7429" w:rsidP="00BD2D3E">
      <w:pPr>
        <w:pStyle w:val="TOCHeading"/>
      </w:pPr>
      <w:r>
        <w:lastRenderedPageBreak/>
        <w:t>Contents</w:t>
      </w:r>
    </w:p>
    <w:p w14:paraId="2D773A4E" w14:textId="37287940" w:rsidR="002F5301" w:rsidRDefault="00D444F2">
      <w:pPr>
        <w:pStyle w:val="TOC1"/>
        <w:rPr>
          <w:rFonts w:asciiTheme="minorHAnsi" w:hAnsiTheme="minorHAnsi" w:cstheme="minorBidi"/>
          <w:noProof/>
          <w:kern w:val="2"/>
          <w:szCs w:val="24"/>
          <w14:ligatures w14:val="standardContextual"/>
        </w:rPr>
      </w:pPr>
      <w:r>
        <w:rPr>
          <w:b/>
          <w:caps/>
          <w:color w:val="FFFFFF" w:themeColor="background1"/>
        </w:rPr>
        <w:fldChar w:fldCharType="begin"/>
      </w:r>
      <w:r>
        <w:rPr>
          <w:b/>
          <w:caps/>
          <w:color w:val="FFFFFF" w:themeColor="background1"/>
        </w:rPr>
        <w:instrText xml:space="preserve"> TOC \h \z \t "Heading 2,1,Heading 3,2,Heading 4,3,Appendix Numbered,2,Heading 2 no line,1,Heading 2 Numbered,1,Heading 3 Numbered,2,Heading 4 Numbered,3" </w:instrText>
      </w:r>
      <w:r>
        <w:rPr>
          <w:b/>
          <w:caps/>
          <w:color w:val="FFFFFF" w:themeColor="background1"/>
        </w:rPr>
        <w:fldChar w:fldCharType="separate"/>
      </w:r>
      <w:hyperlink w:anchor="_Toc228953731" w:history="1">
        <w:r w:rsidR="002F5301" w:rsidRPr="00315FDB">
          <w:rPr>
            <w:rStyle w:val="Hyperlink"/>
            <w:noProof/>
          </w:rPr>
          <w:t>Executive Summary</w:t>
        </w:r>
        <w:r w:rsidR="002F5301">
          <w:rPr>
            <w:noProof/>
            <w:webHidden/>
          </w:rPr>
          <w:tab/>
        </w:r>
        <w:r w:rsidR="002F5301">
          <w:rPr>
            <w:noProof/>
            <w:webHidden/>
          </w:rPr>
          <w:fldChar w:fldCharType="begin"/>
        </w:r>
        <w:r w:rsidR="002F5301">
          <w:rPr>
            <w:noProof/>
            <w:webHidden/>
          </w:rPr>
          <w:instrText xml:space="preserve"> PAGEREF _Toc228953731 \h </w:instrText>
        </w:r>
        <w:r w:rsidR="002F5301">
          <w:rPr>
            <w:noProof/>
            <w:webHidden/>
          </w:rPr>
        </w:r>
        <w:r w:rsidR="002F5301">
          <w:rPr>
            <w:noProof/>
            <w:webHidden/>
          </w:rPr>
          <w:fldChar w:fldCharType="separate"/>
        </w:r>
        <w:r w:rsidR="002F5301">
          <w:rPr>
            <w:noProof/>
            <w:webHidden/>
          </w:rPr>
          <w:t>3</w:t>
        </w:r>
        <w:r w:rsidR="002F5301">
          <w:rPr>
            <w:noProof/>
            <w:webHidden/>
          </w:rPr>
          <w:fldChar w:fldCharType="end"/>
        </w:r>
      </w:hyperlink>
    </w:p>
    <w:p w14:paraId="52047C08" w14:textId="3A285F6C" w:rsidR="002F5301" w:rsidRDefault="002F5301">
      <w:pPr>
        <w:pStyle w:val="TOC1"/>
        <w:rPr>
          <w:rFonts w:asciiTheme="minorHAnsi" w:hAnsiTheme="minorHAnsi" w:cstheme="minorBidi"/>
          <w:noProof/>
          <w:kern w:val="2"/>
          <w:szCs w:val="24"/>
          <w14:ligatures w14:val="standardContextual"/>
        </w:rPr>
      </w:pPr>
      <w:hyperlink w:anchor="_Toc228953732" w:history="1">
        <w:r w:rsidRPr="00315FDB">
          <w:rPr>
            <w:rStyle w:val="Hyperlink"/>
            <w:noProof/>
          </w:rPr>
          <w:t>Introduction</w:t>
        </w:r>
        <w:r>
          <w:rPr>
            <w:noProof/>
            <w:webHidden/>
          </w:rPr>
          <w:tab/>
        </w:r>
        <w:r>
          <w:rPr>
            <w:noProof/>
            <w:webHidden/>
          </w:rPr>
          <w:fldChar w:fldCharType="begin"/>
        </w:r>
        <w:r>
          <w:rPr>
            <w:noProof/>
            <w:webHidden/>
          </w:rPr>
          <w:instrText xml:space="preserve"> PAGEREF _Toc228953732 \h </w:instrText>
        </w:r>
        <w:r>
          <w:rPr>
            <w:noProof/>
            <w:webHidden/>
          </w:rPr>
        </w:r>
        <w:r>
          <w:rPr>
            <w:noProof/>
            <w:webHidden/>
          </w:rPr>
          <w:fldChar w:fldCharType="separate"/>
        </w:r>
        <w:r>
          <w:rPr>
            <w:noProof/>
            <w:webHidden/>
          </w:rPr>
          <w:t>4</w:t>
        </w:r>
        <w:r>
          <w:rPr>
            <w:noProof/>
            <w:webHidden/>
          </w:rPr>
          <w:fldChar w:fldCharType="end"/>
        </w:r>
      </w:hyperlink>
    </w:p>
    <w:p w14:paraId="11171381" w14:textId="1B043AE2" w:rsidR="002F5301" w:rsidRDefault="002F5301">
      <w:pPr>
        <w:pStyle w:val="TOC1"/>
        <w:rPr>
          <w:rFonts w:asciiTheme="minorHAnsi" w:hAnsiTheme="minorHAnsi" w:cstheme="minorBidi"/>
          <w:noProof/>
          <w:kern w:val="2"/>
          <w:szCs w:val="24"/>
          <w14:ligatures w14:val="standardContextual"/>
        </w:rPr>
      </w:pPr>
      <w:hyperlink w:anchor="_Toc228953733" w:history="1">
        <w:r w:rsidRPr="00315FDB">
          <w:rPr>
            <w:rStyle w:val="Hyperlink"/>
            <w:noProof/>
          </w:rPr>
          <w:t>Evaluation</w:t>
        </w:r>
        <w:r>
          <w:rPr>
            <w:noProof/>
            <w:webHidden/>
          </w:rPr>
          <w:tab/>
        </w:r>
        <w:r>
          <w:rPr>
            <w:noProof/>
            <w:webHidden/>
          </w:rPr>
          <w:fldChar w:fldCharType="begin"/>
        </w:r>
        <w:r>
          <w:rPr>
            <w:noProof/>
            <w:webHidden/>
          </w:rPr>
          <w:instrText xml:space="preserve"> PAGEREF _Toc228953733 \h </w:instrText>
        </w:r>
        <w:r>
          <w:rPr>
            <w:noProof/>
            <w:webHidden/>
          </w:rPr>
        </w:r>
        <w:r>
          <w:rPr>
            <w:noProof/>
            <w:webHidden/>
          </w:rPr>
          <w:fldChar w:fldCharType="separate"/>
        </w:r>
        <w:r>
          <w:rPr>
            <w:noProof/>
            <w:webHidden/>
          </w:rPr>
          <w:t>5</w:t>
        </w:r>
        <w:r>
          <w:rPr>
            <w:noProof/>
            <w:webHidden/>
          </w:rPr>
          <w:fldChar w:fldCharType="end"/>
        </w:r>
      </w:hyperlink>
    </w:p>
    <w:p w14:paraId="3D53F21D" w14:textId="7EDFA022" w:rsidR="002F5301" w:rsidRDefault="002F5301">
      <w:pPr>
        <w:pStyle w:val="TOC1"/>
        <w:rPr>
          <w:rFonts w:asciiTheme="minorHAnsi" w:hAnsiTheme="minorHAnsi" w:cstheme="minorBidi"/>
          <w:noProof/>
          <w:kern w:val="2"/>
          <w:szCs w:val="24"/>
          <w14:ligatures w14:val="standardContextual"/>
        </w:rPr>
      </w:pPr>
      <w:hyperlink w:anchor="_Toc228953734" w:history="1">
        <w:r w:rsidRPr="00315FDB">
          <w:rPr>
            <w:rStyle w:val="Hyperlink"/>
            <w:noProof/>
          </w:rPr>
          <w:t>Case study topics</w:t>
        </w:r>
        <w:r>
          <w:rPr>
            <w:noProof/>
            <w:webHidden/>
          </w:rPr>
          <w:tab/>
        </w:r>
        <w:r>
          <w:rPr>
            <w:noProof/>
            <w:webHidden/>
          </w:rPr>
          <w:fldChar w:fldCharType="begin"/>
        </w:r>
        <w:r>
          <w:rPr>
            <w:noProof/>
            <w:webHidden/>
          </w:rPr>
          <w:instrText xml:space="preserve"> PAGEREF _Toc228953734 \h </w:instrText>
        </w:r>
        <w:r>
          <w:rPr>
            <w:noProof/>
            <w:webHidden/>
          </w:rPr>
        </w:r>
        <w:r>
          <w:rPr>
            <w:noProof/>
            <w:webHidden/>
          </w:rPr>
          <w:fldChar w:fldCharType="separate"/>
        </w:r>
        <w:r>
          <w:rPr>
            <w:noProof/>
            <w:webHidden/>
          </w:rPr>
          <w:t>6</w:t>
        </w:r>
        <w:r>
          <w:rPr>
            <w:noProof/>
            <w:webHidden/>
          </w:rPr>
          <w:fldChar w:fldCharType="end"/>
        </w:r>
      </w:hyperlink>
    </w:p>
    <w:p w14:paraId="587C097E" w14:textId="373B8E6F" w:rsidR="002F5301" w:rsidRDefault="002F5301">
      <w:pPr>
        <w:pStyle w:val="TOC1"/>
        <w:rPr>
          <w:rFonts w:asciiTheme="minorHAnsi" w:hAnsiTheme="minorHAnsi" w:cstheme="minorBidi"/>
          <w:noProof/>
          <w:kern w:val="2"/>
          <w:szCs w:val="24"/>
          <w14:ligatures w14:val="standardContextual"/>
        </w:rPr>
      </w:pPr>
      <w:hyperlink w:anchor="_Toc228953735" w:history="1">
        <w:r w:rsidRPr="00315FDB">
          <w:rPr>
            <w:rStyle w:val="Hyperlink"/>
            <w:noProof/>
          </w:rPr>
          <w:t>Case study promotion</w:t>
        </w:r>
        <w:r>
          <w:rPr>
            <w:noProof/>
            <w:webHidden/>
          </w:rPr>
          <w:tab/>
        </w:r>
        <w:r>
          <w:rPr>
            <w:noProof/>
            <w:webHidden/>
          </w:rPr>
          <w:fldChar w:fldCharType="begin"/>
        </w:r>
        <w:r>
          <w:rPr>
            <w:noProof/>
            <w:webHidden/>
          </w:rPr>
          <w:instrText xml:space="preserve"> PAGEREF _Toc228953735 \h </w:instrText>
        </w:r>
        <w:r>
          <w:rPr>
            <w:noProof/>
            <w:webHidden/>
          </w:rPr>
        </w:r>
        <w:r>
          <w:rPr>
            <w:noProof/>
            <w:webHidden/>
          </w:rPr>
          <w:fldChar w:fldCharType="separate"/>
        </w:r>
        <w:r>
          <w:rPr>
            <w:noProof/>
            <w:webHidden/>
          </w:rPr>
          <w:t>12</w:t>
        </w:r>
        <w:r>
          <w:rPr>
            <w:noProof/>
            <w:webHidden/>
          </w:rPr>
          <w:fldChar w:fldCharType="end"/>
        </w:r>
      </w:hyperlink>
    </w:p>
    <w:p w14:paraId="29850123" w14:textId="1C1A4ED2" w:rsidR="002F5301" w:rsidRDefault="002F5301">
      <w:pPr>
        <w:pStyle w:val="TOC1"/>
        <w:rPr>
          <w:rFonts w:asciiTheme="minorHAnsi" w:hAnsiTheme="minorHAnsi" w:cstheme="minorBidi"/>
          <w:noProof/>
          <w:kern w:val="2"/>
          <w:szCs w:val="24"/>
          <w14:ligatures w14:val="standardContextual"/>
        </w:rPr>
      </w:pPr>
      <w:hyperlink w:anchor="_Toc228953736" w:history="1">
        <w:r w:rsidRPr="00315FDB">
          <w:rPr>
            <w:rStyle w:val="Hyperlink"/>
            <w:noProof/>
          </w:rPr>
          <w:t>Case study use</w:t>
        </w:r>
        <w:r>
          <w:rPr>
            <w:noProof/>
            <w:webHidden/>
          </w:rPr>
          <w:tab/>
        </w:r>
        <w:r>
          <w:rPr>
            <w:noProof/>
            <w:webHidden/>
          </w:rPr>
          <w:fldChar w:fldCharType="begin"/>
        </w:r>
        <w:r>
          <w:rPr>
            <w:noProof/>
            <w:webHidden/>
          </w:rPr>
          <w:instrText xml:space="preserve"> PAGEREF _Toc228953736 \h </w:instrText>
        </w:r>
        <w:r>
          <w:rPr>
            <w:noProof/>
            <w:webHidden/>
          </w:rPr>
        </w:r>
        <w:r>
          <w:rPr>
            <w:noProof/>
            <w:webHidden/>
          </w:rPr>
          <w:fldChar w:fldCharType="separate"/>
        </w:r>
        <w:r>
          <w:rPr>
            <w:noProof/>
            <w:webHidden/>
          </w:rPr>
          <w:t>16</w:t>
        </w:r>
        <w:r>
          <w:rPr>
            <w:noProof/>
            <w:webHidden/>
          </w:rPr>
          <w:fldChar w:fldCharType="end"/>
        </w:r>
      </w:hyperlink>
    </w:p>
    <w:p w14:paraId="6E8977CD" w14:textId="39F1610E" w:rsidR="002F5301" w:rsidRDefault="002F5301">
      <w:pPr>
        <w:pStyle w:val="TOC1"/>
        <w:rPr>
          <w:rFonts w:asciiTheme="minorHAnsi" w:hAnsiTheme="minorHAnsi" w:cstheme="minorBidi"/>
          <w:noProof/>
          <w:kern w:val="2"/>
          <w:szCs w:val="24"/>
          <w14:ligatures w14:val="standardContextual"/>
        </w:rPr>
      </w:pPr>
      <w:hyperlink w:anchor="_Toc228953737" w:history="1">
        <w:r w:rsidRPr="00315FDB">
          <w:rPr>
            <w:rStyle w:val="Hyperlink"/>
            <w:noProof/>
          </w:rPr>
          <w:t>Discussion</w:t>
        </w:r>
        <w:r>
          <w:rPr>
            <w:noProof/>
            <w:webHidden/>
          </w:rPr>
          <w:tab/>
        </w:r>
        <w:r>
          <w:rPr>
            <w:noProof/>
            <w:webHidden/>
          </w:rPr>
          <w:fldChar w:fldCharType="begin"/>
        </w:r>
        <w:r>
          <w:rPr>
            <w:noProof/>
            <w:webHidden/>
          </w:rPr>
          <w:instrText xml:space="preserve"> PAGEREF _Toc228953737 \h </w:instrText>
        </w:r>
        <w:r>
          <w:rPr>
            <w:noProof/>
            <w:webHidden/>
          </w:rPr>
        </w:r>
        <w:r>
          <w:rPr>
            <w:noProof/>
            <w:webHidden/>
          </w:rPr>
          <w:fldChar w:fldCharType="separate"/>
        </w:r>
        <w:r>
          <w:rPr>
            <w:noProof/>
            <w:webHidden/>
          </w:rPr>
          <w:t>24</w:t>
        </w:r>
        <w:r>
          <w:rPr>
            <w:noProof/>
            <w:webHidden/>
          </w:rPr>
          <w:fldChar w:fldCharType="end"/>
        </w:r>
      </w:hyperlink>
    </w:p>
    <w:p w14:paraId="2AC5D661" w14:textId="39A6A907" w:rsidR="002F5301" w:rsidRDefault="002F5301">
      <w:pPr>
        <w:pStyle w:val="TOC1"/>
        <w:rPr>
          <w:rFonts w:asciiTheme="minorHAnsi" w:hAnsiTheme="minorHAnsi" w:cstheme="minorBidi"/>
          <w:noProof/>
          <w:kern w:val="2"/>
          <w:szCs w:val="24"/>
          <w14:ligatures w14:val="standardContextual"/>
        </w:rPr>
      </w:pPr>
      <w:hyperlink w:anchor="_Toc228953738" w:history="1">
        <w:r w:rsidRPr="00315FDB">
          <w:rPr>
            <w:rStyle w:val="Hyperlink"/>
            <w:noProof/>
          </w:rPr>
          <w:t>Appendices</w:t>
        </w:r>
        <w:r>
          <w:rPr>
            <w:noProof/>
            <w:webHidden/>
          </w:rPr>
          <w:tab/>
        </w:r>
        <w:r>
          <w:rPr>
            <w:noProof/>
            <w:webHidden/>
          </w:rPr>
          <w:fldChar w:fldCharType="begin"/>
        </w:r>
        <w:r>
          <w:rPr>
            <w:noProof/>
            <w:webHidden/>
          </w:rPr>
          <w:instrText xml:space="preserve"> PAGEREF _Toc228953738 \h </w:instrText>
        </w:r>
        <w:r>
          <w:rPr>
            <w:noProof/>
            <w:webHidden/>
          </w:rPr>
        </w:r>
        <w:r>
          <w:rPr>
            <w:noProof/>
            <w:webHidden/>
          </w:rPr>
          <w:fldChar w:fldCharType="separate"/>
        </w:r>
        <w:r>
          <w:rPr>
            <w:noProof/>
            <w:webHidden/>
          </w:rPr>
          <w:t>26</w:t>
        </w:r>
        <w:r>
          <w:rPr>
            <w:noProof/>
            <w:webHidden/>
          </w:rPr>
          <w:fldChar w:fldCharType="end"/>
        </w:r>
      </w:hyperlink>
    </w:p>
    <w:p w14:paraId="02BE1817" w14:textId="6616B2D2" w:rsidR="002F5301" w:rsidRDefault="002F5301">
      <w:pPr>
        <w:pStyle w:val="TOC2"/>
        <w:rPr>
          <w:rFonts w:asciiTheme="minorHAnsi" w:hAnsiTheme="minorHAnsi" w:cstheme="minorBidi"/>
          <w:noProof/>
          <w:color w:val="auto"/>
          <w:kern w:val="2"/>
          <w:sz w:val="24"/>
          <w:szCs w:val="24"/>
          <w14:ligatures w14:val="standardContextual"/>
        </w:rPr>
      </w:pPr>
      <w:hyperlink w:anchor="_Toc228953739" w:history="1">
        <w:r w:rsidRPr="00315FDB">
          <w:rPr>
            <w:rStyle w:val="Hyperlink"/>
            <w:noProof/>
          </w:rPr>
          <w:t>Appendix A – Methodology</w:t>
        </w:r>
        <w:r>
          <w:rPr>
            <w:noProof/>
            <w:webHidden/>
          </w:rPr>
          <w:tab/>
        </w:r>
        <w:r>
          <w:rPr>
            <w:noProof/>
            <w:webHidden/>
          </w:rPr>
          <w:fldChar w:fldCharType="begin"/>
        </w:r>
        <w:r>
          <w:rPr>
            <w:noProof/>
            <w:webHidden/>
          </w:rPr>
          <w:instrText xml:space="preserve"> PAGEREF _Toc228953739 \h </w:instrText>
        </w:r>
        <w:r>
          <w:rPr>
            <w:noProof/>
            <w:webHidden/>
          </w:rPr>
        </w:r>
        <w:r>
          <w:rPr>
            <w:noProof/>
            <w:webHidden/>
          </w:rPr>
          <w:fldChar w:fldCharType="separate"/>
        </w:r>
        <w:r>
          <w:rPr>
            <w:noProof/>
            <w:webHidden/>
          </w:rPr>
          <w:t>27</w:t>
        </w:r>
        <w:r>
          <w:rPr>
            <w:noProof/>
            <w:webHidden/>
          </w:rPr>
          <w:fldChar w:fldCharType="end"/>
        </w:r>
      </w:hyperlink>
    </w:p>
    <w:p w14:paraId="51AEDD75" w14:textId="4A44D99A" w:rsidR="002F5301" w:rsidRDefault="002F5301">
      <w:pPr>
        <w:pStyle w:val="TOC2"/>
        <w:rPr>
          <w:rFonts w:asciiTheme="minorHAnsi" w:hAnsiTheme="minorHAnsi" w:cstheme="minorBidi"/>
          <w:noProof/>
          <w:color w:val="auto"/>
          <w:kern w:val="2"/>
          <w:sz w:val="24"/>
          <w:szCs w:val="24"/>
          <w14:ligatures w14:val="standardContextual"/>
        </w:rPr>
      </w:pPr>
      <w:hyperlink w:anchor="_Toc228953740" w:history="1">
        <w:r w:rsidRPr="00315FDB">
          <w:rPr>
            <w:rStyle w:val="Hyperlink"/>
            <w:noProof/>
          </w:rPr>
          <w:t>Appendix B – Case study categories</w:t>
        </w:r>
        <w:r>
          <w:rPr>
            <w:noProof/>
            <w:webHidden/>
          </w:rPr>
          <w:tab/>
        </w:r>
        <w:r>
          <w:rPr>
            <w:noProof/>
            <w:webHidden/>
          </w:rPr>
          <w:fldChar w:fldCharType="begin"/>
        </w:r>
        <w:r>
          <w:rPr>
            <w:noProof/>
            <w:webHidden/>
          </w:rPr>
          <w:instrText xml:space="preserve"> PAGEREF _Toc228953740 \h </w:instrText>
        </w:r>
        <w:r>
          <w:rPr>
            <w:noProof/>
            <w:webHidden/>
          </w:rPr>
        </w:r>
        <w:r>
          <w:rPr>
            <w:noProof/>
            <w:webHidden/>
          </w:rPr>
          <w:fldChar w:fldCharType="separate"/>
        </w:r>
        <w:r>
          <w:rPr>
            <w:noProof/>
            <w:webHidden/>
          </w:rPr>
          <w:t>28</w:t>
        </w:r>
        <w:r>
          <w:rPr>
            <w:noProof/>
            <w:webHidden/>
          </w:rPr>
          <w:fldChar w:fldCharType="end"/>
        </w:r>
      </w:hyperlink>
    </w:p>
    <w:p w14:paraId="3C72A6B3" w14:textId="5827E500" w:rsidR="002F5301" w:rsidRDefault="002F5301">
      <w:pPr>
        <w:pStyle w:val="TOC2"/>
        <w:rPr>
          <w:rFonts w:asciiTheme="minorHAnsi" w:hAnsiTheme="minorHAnsi" w:cstheme="minorBidi"/>
          <w:noProof/>
          <w:color w:val="auto"/>
          <w:kern w:val="2"/>
          <w:sz w:val="24"/>
          <w:szCs w:val="24"/>
          <w14:ligatures w14:val="standardContextual"/>
        </w:rPr>
      </w:pPr>
      <w:hyperlink w:anchor="_Toc228953741" w:history="1">
        <w:r w:rsidRPr="00315FDB">
          <w:rPr>
            <w:rStyle w:val="Hyperlink"/>
            <w:noProof/>
          </w:rPr>
          <w:t>Appendix C – Publicly available references to the case studies</w:t>
        </w:r>
        <w:r>
          <w:rPr>
            <w:noProof/>
            <w:webHidden/>
          </w:rPr>
          <w:tab/>
        </w:r>
        <w:r>
          <w:rPr>
            <w:noProof/>
            <w:webHidden/>
          </w:rPr>
          <w:fldChar w:fldCharType="begin"/>
        </w:r>
        <w:r>
          <w:rPr>
            <w:noProof/>
            <w:webHidden/>
          </w:rPr>
          <w:instrText xml:space="preserve"> PAGEREF _Toc228953741 \h </w:instrText>
        </w:r>
        <w:r>
          <w:rPr>
            <w:noProof/>
            <w:webHidden/>
          </w:rPr>
        </w:r>
        <w:r>
          <w:rPr>
            <w:noProof/>
            <w:webHidden/>
          </w:rPr>
          <w:fldChar w:fldCharType="separate"/>
        </w:r>
        <w:r>
          <w:rPr>
            <w:noProof/>
            <w:webHidden/>
          </w:rPr>
          <w:t>31</w:t>
        </w:r>
        <w:r>
          <w:rPr>
            <w:noProof/>
            <w:webHidden/>
          </w:rPr>
          <w:fldChar w:fldCharType="end"/>
        </w:r>
      </w:hyperlink>
    </w:p>
    <w:p w14:paraId="748EBC48" w14:textId="1571FFAA" w:rsidR="00950D92" w:rsidRDefault="00D444F2" w:rsidP="00950D92">
      <w:r>
        <w:rPr>
          <w:rFonts w:ascii="Gotham Medium" w:hAnsi="Gotham Medium"/>
          <w:b/>
          <w:caps/>
          <w:color w:val="FFFFFF" w:themeColor="background1"/>
          <w:sz w:val="24"/>
        </w:rPr>
        <w:fldChar w:fldCharType="end"/>
      </w:r>
    </w:p>
    <w:p w14:paraId="22DA1ED4" w14:textId="77777777" w:rsidR="00950D92" w:rsidRDefault="00BF7429">
      <w:pPr>
        <w:spacing w:before="0" w:after="0" w:line="240" w:lineRule="auto"/>
      </w:pPr>
      <w:r>
        <w:br w:type="page"/>
      </w:r>
    </w:p>
    <w:p w14:paraId="602EBB68" w14:textId="42B942F7" w:rsidR="0060280C" w:rsidRDefault="0060280C" w:rsidP="00107B3D">
      <w:pPr>
        <w:pStyle w:val="Heading2"/>
      </w:pPr>
      <w:bookmarkStart w:id="0" w:name="_Toc228953731"/>
      <w:r>
        <w:lastRenderedPageBreak/>
        <w:t>Executive Summary</w:t>
      </w:r>
      <w:bookmarkEnd w:id="0"/>
    </w:p>
    <w:p w14:paraId="755D0575" w14:textId="7EF2E62C" w:rsidR="004D71C1" w:rsidRDefault="004D71C1" w:rsidP="004D71C1">
      <w:r>
        <w:t>This evaluation assesses NHMRC’s Impact Case Study business activity with a focus on case study topics, promotion and use.</w:t>
      </w:r>
    </w:p>
    <w:p w14:paraId="09887955" w14:textId="77777777" w:rsidR="004D71C1" w:rsidRDefault="004D71C1" w:rsidP="004D71C1">
      <w:pPr>
        <w:pStyle w:val="Heading5"/>
      </w:pPr>
      <w:r>
        <w:t>Case study topics</w:t>
      </w:r>
    </w:p>
    <w:p w14:paraId="53A36295" w14:textId="6F1828F4" w:rsidR="004D71C1" w:rsidRDefault="004D71C1" w:rsidP="004D71C1">
      <w:r>
        <w:t xml:space="preserve">Case study topics reflect diverse pathways to impact, most commonly changes to clinical practice and pharmaceutical development. </w:t>
      </w:r>
      <w:r w:rsidR="00A97C03">
        <w:t>C</w:t>
      </w:r>
      <w:r>
        <w:t xml:space="preserve">ase studies span all major health categories and all research activity categories within the </w:t>
      </w:r>
      <w:r w:rsidR="00A97C03">
        <w:t xml:space="preserve">UK </w:t>
      </w:r>
      <w:r>
        <w:t xml:space="preserve">Health Research Classification System. Case studies draw on </w:t>
      </w:r>
      <w:r w:rsidR="00DE4FD9">
        <w:t xml:space="preserve">health and medical </w:t>
      </w:r>
      <w:r>
        <w:t xml:space="preserve">research </w:t>
      </w:r>
      <w:r w:rsidR="00DE4FD9">
        <w:t xml:space="preserve">(HMR) </w:t>
      </w:r>
      <w:r>
        <w:t>undertaken across many institutions</w:t>
      </w:r>
      <w:r w:rsidR="00842BC3">
        <w:t xml:space="preserve">, with a focus on major universities but also including </w:t>
      </w:r>
      <w:r>
        <w:t>hospitals and medical research institutes. The proportion of women among profiled researchers has increased over time and exceeds half in more recent periods.</w:t>
      </w:r>
    </w:p>
    <w:p w14:paraId="3E09CA84" w14:textId="77777777" w:rsidR="004D71C1" w:rsidRDefault="004D71C1" w:rsidP="004D71C1">
      <w:r>
        <w:t>Overall, current approaches to selecting case study topics appear fit for purpose and consistent with NHMRC’s objective of demonstrating contribution to improvements in health.</w:t>
      </w:r>
    </w:p>
    <w:p w14:paraId="18AB025F" w14:textId="77777777" w:rsidR="004D71C1" w:rsidRDefault="004D71C1" w:rsidP="004D71C1">
      <w:pPr>
        <w:pStyle w:val="Heading5"/>
      </w:pPr>
      <w:r>
        <w:t>Case study promotion</w:t>
      </w:r>
    </w:p>
    <w:p w14:paraId="7386B6DF" w14:textId="77777777" w:rsidR="004D71C1" w:rsidRDefault="004D71C1" w:rsidP="004D71C1">
      <w:r>
        <w:t>NHMRC has increased promotion of case studies since earlier evaluations. Analysis of Twitter/X data indicates that engagement with case study posts is similar to most other NHMRC content, though lower than engagement with grant announcements and feature-style posts. Case study tweets tend to include fewer links and less human</w:t>
      </w:r>
      <w:r>
        <w:rPr>
          <w:rFonts w:ascii="Cambria Math" w:hAnsi="Cambria Math" w:cs="Cambria Math"/>
        </w:rPr>
        <w:t>‑</w:t>
      </w:r>
      <w:r>
        <w:t>centred language. Revising the style of these posts may improve engagement.</w:t>
      </w:r>
    </w:p>
    <w:p w14:paraId="12228A57" w14:textId="77777777" w:rsidR="004D71C1" w:rsidRDefault="004D71C1" w:rsidP="004D71C1">
      <w:pPr>
        <w:pStyle w:val="Heading5"/>
      </w:pPr>
      <w:r>
        <w:t>Case study use</w:t>
      </w:r>
    </w:p>
    <w:p w14:paraId="5221F2DD" w14:textId="60266D34" w:rsidR="004D71C1" w:rsidRDefault="004D71C1" w:rsidP="004D71C1">
      <w:r>
        <w:t xml:space="preserve">Case studies receive similar levels of use to NHMRC Annual Reports and are most commonly accessed via search engines. Users are distributed across Australia and </w:t>
      </w:r>
      <w:r w:rsidR="00FA534D">
        <w:t xml:space="preserve">over one </w:t>
      </w:r>
      <w:r w:rsidR="00F97ADB">
        <w:t xml:space="preserve">quarter are located </w:t>
      </w:r>
      <w:r>
        <w:t>internationally. Some case studies attract higher and more sustained interest, likely reflecting topic relevance and external referencing. Case studies also add value through reuse and citation in other policy and informational documents.</w:t>
      </w:r>
    </w:p>
    <w:p w14:paraId="7B6ED828" w14:textId="77777777" w:rsidR="004D71C1" w:rsidRDefault="004D71C1" w:rsidP="004D71C1">
      <w:pPr>
        <w:pStyle w:val="Heading5"/>
      </w:pPr>
      <w:r>
        <w:t>Overall conclusions</w:t>
      </w:r>
    </w:p>
    <w:p w14:paraId="4AAFC88A" w14:textId="01F15B34" w:rsidR="002F5301" w:rsidRDefault="006A4DDB" w:rsidP="004D71C1">
      <w:r>
        <w:t xml:space="preserve">The Impact Case Study </w:t>
      </w:r>
      <w:r w:rsidR="00FD359C">
        <w:t xml:space="preserve">business activity </w:t>
      </w:r>
      <w:r>
        <w:t>is delivering value for NHMRC.</w:t>
      </w:r>
      <w:r w:rsidR="002B1FE8">
        <w:t xml:space="preserve"> It is </w:t>
      </w:r>
      <w:r w:rsidR="004D71C1">
        <w:t>functioning as intended and supports NHMRC’s accountability and impact objectives.</w:t>
      </w:r>
    </w:p>
    <w:p w14:paraId="65F6B1DE" w14:textId="77777777" w:rsidR="002F5301" w:rsidRDefault="002F5301">
      <w:pPr>
        <w:spacing w:line="240" w:lineRule="atLeast"/>
      </w:pPr>
      <w:r>
        <w:br w:type="page"/>
      </w:r>
    </w:p>
    <w:p w14:paraId="24DD6A7B" w14:textId="0BC6AEDB" w:rsidR="00950D92" w:rsidRPr="00107B3D" w:rsidRDefault="005F6F31" w:rsidP="00107B3D">
      <w:pPr>
        <w:pStyle w:val="Heading2"/>
      </w:pPr>
      <w:bookmarkStart w:id="1" w:name="_Toc228953732"/>
      <w:r>
        <w:lastRenderedPageBreak/>
        <w:t>Introduction</w:t>
      </w:r>
      <w:bookmarkEnd w:id="1"/>
    </w:p>
    <w:p w14:paraId="0B226288" w14:textId="33DBE62E" w:rsidR="006A1664" w:rsidRDefault="00653B13" w:rsidP="000A198B">
      <w:r>
        <w:t>Th</w:t>
      </w:r>
      <w:r w:rsidR="005D41C9">
        <w:t xml:space="preserve">e </w:t>
      </w:r>
      <w:r w:rsidR="008D72E0">
        <w:t xml:space="preserve">present </w:t>
      </w:r>
      <w:r>
        <w:t xml:space="preserve">evaluation </w:t>
      </w:r>
      <w:r w:rsidR="00510E40">
        <w:t xml:space="preserve">presents </w:t>
      </w:r>
      <w:r w:rsidR="004F4454">
        <w:t xml:space="preserve">analyses of </w:t>
      </w:r>
      <w:r w:rsidR="00510E40">
        <w:t xml:space="preserve">case study content, </w:t>
      </w:r>
      <w:r>
        <w:t xml:space="preserve">audience engagement </w:t>
      </w:r>
      <w:r w:rsidR="00510E40">
        <w:t>and case study promotion</w:t>
      </w:r>
      <w:r w:rsidR="00F86D9B">
        <w:t xml:space="preserve"> up</w:t>
      </w:r>
      <w:r w:rsidR="00643964">
        <w:t xml:space="preserve"> </w:t>
      </w:r>
      <w:r w:rsidR="00F86D9B">
        <w:t>to</w:t>
      </w:r>
      <w:r w:rsidR="00643964">
        <w:t xml:space="preserve"> 10 October 2025</w:t>
      </w:r>
      <w:r w:rsidR="00510E40">
        <w:t xml:space="preserve">. It also </w:t>
      </w:r>
      <w:r w:rsidR="006A1664">
        <w:t xml:space="preserve">offers recommendations about </w:t>
      </w:r>
      <w:r w:rsidR="007C17B1">
        <w:t xml:space="preserve">strategic opportunities to improve </w:t>
      </w:r>
      <w:r w:rsidR="008D72E0">
        <w:t xml:space="preserve">case study </w:t>
      </w:r>
      <w:r w:rsidR="007C17B1">
        <w:t>promotion.</w:t>
      </w:r>
    </w:p>
    <w:p w14:paraId="2C87EADA" w14:textId="71D6D184" w:rsidR="00073518" w:rsidRDefault="00073518" w:rsidP="00D64BF7">
      <w:pPr>
        <w:pStyle w:val="List1Numbered1"/>
        <w:numPr>
          <w:ilvl w:val="0"/>
          <w:numId w:val="0"/>
        </w:numPr>
      </w:pPr>
      <w:r>
        <w:t xml:space="preserve">The primary audience for this report </w:t>
      </w:r>
      <w:r w:rsidR="00D64BF7">
        <w:t xml:space="preserve">is </w:t>
      </w:r>
      <w:r>
        <w:t>NHMRC</w:t>
      </w:r>
      <w:r w:rsidR="00E26361">
        <w:t>’s</w:t>
      </w:r>
      <w:r w:rsidR="00D64BF7">
        <w:t xml:space="preserve"> </w:t>
      </w:r>
      <w:r w:rsidR="00864751">
        <w:t>Executive Board</w:t>
      </w:r>
      <w:r w:rsidR="00D64BF7">
        <w:t xml:space="preserve">, however </w:t>
      </w:r>
      <w:r w:rsidR="0012734C">
        <w:t xml:space="preserve">the report </w:t>
      </w:r>
      <w:r w:rsidR="00D64BF7">
        <w:t xml:space="preserve">contains content that may </w:t>
      </w:r>
      <w:r w:rsidR="008E0F08">
        <w:t xml:space="preserve">also </w:t>
      </w:r>
      <w:r w:rsidR="00D64BF7">
        <w:t>be interesting to a broader audience</w:t>
      </w:r>
      <w:r w:rsidR="000C1AF0">
        <w:t xml:space="preserve"> including past and possible future case study partner organisations.</w:t>
      </w:r>
    </w:p>
    <w:p w14:paraId="4572E324" w14:textId="71975F9E" w:rsidR="00F3227A" w:rsidRDefault="00F3227A" w:rsidP="00F3227A">
      <w:pPr>
        <w:pStyle w:val="Heading5"/>
      </w:pPr>
      <w:r>
        <w:t>Background</w:t>
      </w:r>
    </w:p>
    <w:p w14:paraId="4C636B07" w14:textId="11369A45" w:rsidR="00784B7C" w:rsidRDefault="00EA1B38" w:rsidP="00784B7C">
      <w:r>
        <w:t xml:space="preserve">As set out on the </w:t>
      </w:r>
      <w:r w:rsidR="00200DC2">
        <w:t xml:space="preserve">case study </w:t>
      </w:r>
      <w:hyperlink r:id="rId9" w:history="1">
        <w:r w:rsidRPr="00EA1B38">
          <w:rPr>
            <w:rStyle w:val="Hyperlink"/>
          </w:rPr>
          <w:t>homepage</w:t>
        </w:r>
      </w:hyperlink>
      <w:r>
        <w:t xml:space="preserve">, </w:t>
      </w:r>
      <w:r w:rsidR="00654616" w:rsidRPr="00654616">
        <w:t xml:space="preserve">NHMRC produces </w:t>
      </w:r>
      <w:r w:rsidR="00DB1AF5">
        <w:t>I</w:t>
      </w:r>
      <w:r w:rsidR="00654616" w:rsidRPr="00654616">
        <w:t xml:space="preserve">mpact </w:t>
      </w:r>
      <w:r w:rsidR="00DB1AF5">
        <w:t>C</w:t>
      </w:r>
      <w:r w:rsidR="00654616" w:rsidRPr="00654616">
        <w:t xml:space="preserve">ase </w:t>
      </w:r>
      <w:r w:rsidR="00DB1AF5">
        <w:t>S</w:t>
      </w:r>
      <w:r w:rsidR="00654616" w:rsidRPr="00654616">
        <w:t>tudies to demonstrate its contribution to raising the standard of individual and public health throughout Australia.</w:t>
      </w:r>
      <w:r>
        <w:t xml:space="preserve"> </w:t>
      </w:r>
      <w:r w:rsidR="00784B7C">
        <w:t xml:space="preserve">A logic model for the case study business activity is provided in </w:t>
      </w:r>
      <w:r w:rsidR="00784B7C" w:rsidRPr="0080240C">
        <w:rPr>
          <w:u w:val="single"/>
        </w:rPr>
        <w:t>Figure 1</w:t>
      </w:r>
      <w:r w:rsidR="00784B7C">
        <w:t>.</w:t>
      </w:r>
    </w:p>
    <w:p w14:paraId="3306E189" w14:textId="7FFC4775" w:rsidR="00784B7C" w:rsidRDefault="00784B7C" w:rsidP="00784B7C">
      <w:pPr>
        <w:pStyle w:val="FigureTitle"/>
        <w:numPr>
          <w:ilvl w:val="0"/>
          <w:numId w:val="25"/>
        </w:numPr>
      </w:pPr>
      <w:r>
        <w:t xml:space="preserve">Logic model for the </w:t>
      </w:r>
      <w:r w:rsidR="00DD542D">
        <w:t>I</w:t>
      </w:r>
      <w:r>
        <w:t xml:space="preserve">mpact </w:t>
      </w:r>
      <w:r w:rsidR="00DD542D">
        <w:t>C</w:t>
      </w:r>
      <w:r>
        <w:t xml:space="preserve">ase </w:t>
      </w:r>
      <w:r w:rsidR="00DD542D">
        <w:t>S</w:t>
      </w:r>
      <w:r>
        <w:t>tudy business activity</w:t>
      </w:r>
    </w:p>
    <w:p w14:paraId="2A0711B9" w14:textId="77777777" w:rsidR="00784B7C" w:rsidRDefault="00784B7C" w:rsidP="00784B7C">
      <w:r>
        <w:rPr>
          <w:noProof/>
        </w:rPr>
        <w:drawing>
          <wp:inline distT="0" distB="0" distL="0" distR="0" wp14:anchorId="6C3FAE96" wp14:editId="135CB71F">
            <wp:extent cx="6264275" cy="3644900"/>
            <wp:effectExtent l="0" t="0" r="3175" b="0"/>
            <wp:docPr id="639743809" name="Picture 7" descr="The image presents an “Impact Case Studies logic model” dated April 2026. The logic model is displayed as a left to right flow diagram showing how NHMRC inputs and activities lead to outputs, outcomes and long term impacts. The diagram is organised into sections: Objective and audiences at the top, followed by inputs, activities and outputs, and outcomes and impacts across short, medium and long term timeframes.&#10;Objective and audiences&#10;The stated objective is to demonstrate NHMRC’s contribution to raising the standard of individual and public health throughout Australia. The intended audiences include the Australian public; members of Parliament; Australian Government Departments and agencies; education institutions and their students; medical research sector organisations and their staff; and other health sector organisations.&#10;Inputs&#10;The inputs section lists the resources that support impact case studies. These include NHMRC grant data and historical records; jurisdictional records and partner supplied information; and NHMRC and partner staff time and ICT capabilities.&#10;Activities&#10;The activities describe how NHMRC uses the inputs to create impact case studies. Activities include NHMRC selecting topics and contacts potential partners; working with researchers and partners to develop case study content; writing and editing case studies; and using NHMRC channels and platforms to publish and promote the case studies.&#10;Outputs&#10;The outputs focus on the immediate products of these activities. The primary outputs are about 8 impact case studies published each year and promoted by NHMRC through its communication channels.&#10;Outcomes and Impacts&#10;The outcomes and impacts section is divided into three timeframes:&#10;• short term outcomes: case studies are promoted by partners and case studies are engaged with various by various audiences. &#10;• medium term outcomes: case studies included in NHMRC Annual Reports and Case studies used as evidence of impact by governments. &#10;• long term impacts: Australian government continues HMR funding and NHMRC’s retains its social licence to operate. &#10;Assumptions and external factors&#10;Partner organisations continue to assist NHMRC with the development of new case studies. Demonstrating the impact of its programs remains a priority for the 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743809" name="Picture 7" descr="The image presents an “Impact Case Studies logic model” dated April 2026. The logic model is displayed as a left to right flow diagram showing how NHMRC inputs and activities lead to outputs, outcomes and long term impacts. The diagram is organised into sections: Objective and audiences at the top, followed by inputs, activities and outputs, and outcomes and impacts across short, medium and long term timeframes.&#10;Objective and audiences&#10;The stated objective is to demonstrate NHMRC’s contribution to raising the standard of individual and public health throughout Australia. The intended audiences include the Australian public; members of Parliament; Australian Government Departments and agencies; education institutions and their students; medical research sector organisations and their staff; and other health sector organisations.&#10;Inputs&#10;The inputs section lists the resources that support impact case studies. These include NHMRC grant data and historical records; jurisdictional records and partner supplied information; and NHMRC and partner staff time and ICT capabilities.&#10;Activities&#10;The activities describe how NHMRC uses the inputs to create impact case studies. Activities include NHMRC selecting topics and contacts potential partners; working with researchers and partners to develop case study content; writing and editing case studies; and using NHMRC channels and platforms to publish and promote the case studies.&#10;Outputs&#10;The outputs focus on the immediate products of these activities. The primary outputs are about 8 impact case studies published each year and promoted by NHMRC through its communication channels.&#10;Outcomes and Impacts&#10;The outcomes and impacts section is divided into three timeframes:&#10;• short term outcomes: case studies are promoted by partners and case studies are engaged with various by various audiences. &#10;• medium term outcomes: case studies included in NHMRC Annual Reports and Case studies used as evidence of impact by governments. &#10;• long term impacts: Australian government continues HMR funding and NHMRC’s retains its social licence to operate. &#10;Assumptions and external factors&#10;Partner organisations continue to assist NHMRC with the development of new case studies. Demonstrating the impact of its programs remains a priority for the Australian Government."/>
                    <pic:cNvPicPr/>
                  </pic:nvPicPr>
                  <pic:blipFill>
                    <a:blip r:embed="rId10">
                      <a:extLst>
                        <a:ext uri="{28A0092B-C50C-407E-A947-70E740481C1C}">
                          <a14:useLocalDpi xmlns:a14="http://schemas.microsoft.com/office/drawing/2010/main" val="0"/>
                        </a:ext>
                      </a:extLst>
                    </a:blip>
                    <a:stretch>
                      <a:fillRect/>
                    </a:stretch>
                  </pic:blipFill>
                  <pic:spPr>
                    <a:xfrm>
                      <a:off x="0" y="0"/>
                      <a:ext cx="6264275" cy="3644900"/>
                    </a:xfrm>
                    <a:prstGeom prst="rect">
                      <a:avLst/>
                    </a:prstGeom>
                  </pic:spPr>
                </pic:pic>
              </a:graphicData>
            </a:graphic>
          </wp:inline>
        </w:drawing>
      </w:r>
    </w:p>
    <w:p w14:paraId="77342922" w14:textId="77777777" w:rsidR="00C64B8C" w:rsidRDefault="00D8128D" w:rsidP="00FB6028">
      <w:r>
        <w:t>NHMRC</w:t>
      </w:r>
      <w:r w:rsidR="00F3227A">
        <w:t xml:space="preserve"> </w:t>
      </w:r>
      <w:r>
        <w:t xml:space="preserve">commenced </w:t>
      </w:r>
      <w:r w:rsidR="00F3227A">
        <w:t xml:space="preserve">developing Impact Case Studies </w:t>
      </w:r>
      <w:r>
        <w:t>in February 2018 and</w:t>
      </w:r>
      <w:r w:rsidR="006D6DA8">
        <w:t>,</w:t>
      </w:r>
      <w:r>
        <w:t xml:space="preserve"> as shown in </w:t>
      </w:r>
      <w:r w:rsidRPr="00CB2F5A">
        <w:rPr>
          <w:u w:val="single"/>
        </w:rPr>
        <w:t xml:space="preserve">Figure </w:t>
      </w:r>
      <w:r w:rsidR="00784B7C">
        <w:rPr>
          <w:u w:val="single"/>
        </w:rPr>
        <w:t>2</w:t>
      </w:r>
      <w:r>
        <w:t>, about 8 case studies have been produced every year since that time</w:t>
      </w:r>
      <w:r w:rsidR="00187656">
        <w:t>, with a total of 63 case studies included within this evaluation</w:t>
      </w:r>
      <w:r>
        <w:t>.</w:t>
      </w:r>
    </w:p>
    <w:p w14:paraId="060EFFFB" w14:textId="523DC17E" w:rsidR="00FB6028" w:rsidRDefault="00FB6028" w:rsidP="00FB6028">
      <w:r>
        <w:t xml:space="preserve">Further details about the case studies, and about the methodology that underpins this evaluation </w:t>
      </w:r>
      <w:r w:rsidR="00C00368">
        <w:t xml:space="preserve">including definitions of key terms related to social media </w:t>
      </w:r>
      <w:r w:rsidR="00E840AC">
        <w:t xml:space="preserve">metrics </w:t>
      </w:r>
      <w:r w:rsidR="00C00368">
        <w:t xml:space="preserve">and webmetrics </w:t>
      </w:r>
      <w:r w:rsidR="00445D19">
        <w:t xml:space="preserve">are </w:t>
      </w:r>
      <w:r>
        <w:t xml:space="preserve">provided at </w:t>
      </w:r>
      <w:r w:rsidRPr="007350C0">
        <w:rPr>
          <w:u w:val="single"/>
        </w:rPr>
        <w:t>Appendi</w:t>
      </w:r>
      <w:r w:rsidR="00015467" w:rsidRPr="007350C0">
        <w:rPr>
          <w:u w:val="single"/>
        </w:rPr>
        <w:t>ces</w:t>
      </w:r>
      <w:r w:rsidRPr="007350C0">
        <w:rPr>
          <w:u w:val="single"/>
        </w:rPr>
        <w:t xml:space="preserve"> A</w:t>
      </w:r>
      <w:r w:rsidR="00437C71" w:rsidRPr="007350C0">
        <w:rPr>
          <w:u w:val="single"/>
        </w:rPr>
        <w:t xml:space="preserve"> and B</w:t>
      </w:r>
      <w:r w:rsidR="00437C71">
        <w:t>.</w:t>
      </w:r>
    </w:p>
    <w:p w14:paraId="2BEE3437" w14:textId="77777777" w:rsidR="00D8128D" w:rsidRDefault="00D8128D" w:rsidP="00D8128D">
      <w:pPr>
        <w:pStyle w:val="FigureTitle"/>
      </w:pPr>
      <w:r>
        <w:lastRenderedPageBreak/>
        <w:t>Number of case studies produced by year (calendar, financial)</w:t>
      </w:r>
    </w:p>
    <w:p w14:paraId="6C55F1ED" w14:textId="77777777" w:rsidR="00D8128D" w:rsidRDefault="00D8128D" w:rsidP="00D8128D">
      <w:r>
        <w:rPr>
          <w:noProof/>
        </w:rPr>
        <w:drawing>
          <wp:inline distT="0" distB="0" distL="0" distR="0" wp14:anchorId="7A842EEA" wp14:editId="46DF69CE">
            <wp:extent cx="5325175" cy="3139789"/>
            <wp:effectExtent l="0" t="0" r="8890" b="3810"/>
            <wp:docPr id="236707562" name="Picture 1" descr="A bar chart showing the number of case studies published each calendar and financial year, from 2018/-19 to 2025/-26. The chart shows that about 8 case studies are being produced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07562" name="Picture 1" descr="A bar chart showing the number of case studies published each calendar and financial year, from 2018/-19 to 2025/-26. The chart shows that about 8 case studies are being produced each yea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3860" cy="3144910"/>
                    </a:xfrm>
                    <a:prstGeom prst="rect">
                      <a:avLst/>
                    </a:prstGeom>
                    <a:noFill/>
                  </pic:spPr>
                </pic:pic>
              </a:graphicData>
            </a:graphic>
          </wp:inline>
        </w:drawing>
      </w:r>
    </w:p>
    <w:p w14:paraId="1102A080" w14:textId="6C8C0325" w:rsidR="00883389" w:rsidRDefault="006D0255" w:rsidP="008F126A">
      <w:pPr>
        <w:pStyle w:val="Heading2"/>
      </w:pPr>
      <w:bookmarkStart w:id="2" w:name="_Toc228953733"/>
      <w:r>
        <w:t>E</w:t>
      </w:r>
      <w:r w:rsidR="00767B59">
        <w:t>valuation</w:t>
      </w:r>
      <w:bookmarkEnd w:id="2"/>
    </w:p>
    <w:p w14:paraId="17625297" w14:textId="7179D58E" w:rsidR="00247E66" w:rsidRDefault="00D8128D" w:rsidP="00247E66">
      <w:r>
        <w:t>The I</w:t>
      </w:r>
      <w:r w:rsidR="002618C8">
        <w:t>mpact Case Study</w:t>
      </w:r>
      <w:r>
        <w:t xml:space="preserve"> business activity has </w:t>
      </w:r>
      <w:r w:rsidR="00436171">
        <w:t xml:space="preserve">previously </w:t>
      </w:r>
      <w:r>
        <w:t>been evaluated</w:t>
      </w:r>
      <w:r w:rsidR="00940C50">
        <w:t xml:space="preserve"> (in 2021 and 2023)</w:t>
      </w:r>
      <w:r>
        <w:t>.</w:t>
      </w:r>
      <w:r w:rsidR="005C4A59">
        <w:t xml:space="preserve"> </w:t>
      </w:r>
      <w:r w:rsidR="00247E66">
        <w:t xml:space="preserve">Both previous evaluations recommended that the level of case study promotion be increased. This has taken place, with case studies now routinely promoted using Tracker and more </w:t>
      </w:r>
      <w:r w:rsidR="00CC5853">
        <w:t xml:space="preserve">regularly </w:t>
      </w:r>
      <w:r w:rsidR="00247E66">
        <w:t xml:space="preserve">promoted via </w:t>
      </w:r>
      <w:r w:rsidR="00CC5853">
        <w:t>Twitter</w:t>
      </w:r>
      <w:r w:rsidR="009909AD">
        <w:t>/X</w:t>
      </w:r>
      <w:r w:rsidR="00CC5853">
        <w:t xml:space="preserve"> and other </w:t>
      </w:r>
      <w:r w:rsidR="00247E66">
        <w:t>social media.</w:t>
      </w:r>
    </w:p>
    <w:p w14:paraId="320722AE" w14:textId="14295EFE" w:rsidR="00247E66" w:rsidRDefault="00247E66" w:rsidP="00247E66">
      <w:r>
        <w:t xml:space="preserve">The </w:t>
      </w:r>
      <w:r w:rsidR="00CC5853">
        <w:t xml:space="preserve">2023 </w:t>
      </w:r>
      <w:r>
        <w:t xml:space="preserve">evaluation recommended </w:t>
      </w:r>
      <w:r w:rsidR="006D0DA2">
        <w:t xml:space="preserve">a </w:t>
      </w:r>
      <w:r w:rsidR="00707B00">
        <w:t xml:space="preserve">content analysis </w:t>
      </w:r>
      <w:r w:rsidR="0081234F">
        <w:t xml:space="preserve">of the previously published </w:t>
      </w:r>
      <w:r>
        <w:t xml:space="preserve">case studies. This has taken place, with the present evaluation reporting on </w:t>
      </w:r>
      <w:r w:rsidR="0081234F">
        <w:t xml:space="preserve">some of </w:t>
      </w:r>
      <w:r>
        <w:t>th</w:t>
      </w:r>
      <w:r w:rsidR="0081234F">
        <w:t>e data that has been extracted</w:t>
      </w:r>
      <w:r>
        <w:t>.</w:t>
      </w:r>
    </w:p>
    <w:p w14:paraId="719F6203" w14:textId="77777777" w:rsidR="00100519" w:rsidRDefault="00846AEB" w:rsidP="00C028F1">
      <w:r>
        <w:t xml:space="preserve">Noting that the objective of the case studies is to demonstrate </w:t>
      </w:r>
      <w:r w:rsidR="00EF7AFD">
        <w:t>NHMRC’s contribution to raising the standard of health in Australia</w:t>
      </w:r>
      <w:r w:rsidR="0097362A">
        <w:t xml:space="preserve">, the present evaluation examines this objective </w:t>
      </w:r>
      <w:r w:rsidR="00100519">
        <w:t>within the following three areas:</w:t>
      </w:r>
    </w:p>
    <w:p w14:paraId="1159D547" w14:textId="6E19451A" w:rsidR="00D0772D" w:rsidRDefault="00100519" w:rsidP="00100519">
      <w:pPr>
        <w:pStyle w:val="ListParagraph"/>
        <w:numPr>
          <w:ilvl w:val="0"/>
          <w:numId w:val="31"/>
        </w:numPr>
      </w:pPr>
      <w:r w:rsidRPr="00D0772D">
        <w:rPr>
          <w:rStyle w:val="Heading6Char"/>
        </w:rPr>
        <w:t>Case study topics</w:t>
      </w:r>
      <w:r>
        <w:t xml:space="preserve">: </w:t>
      </w:r>
      <w:r w:rsidR="00CC5F4E">
        <w:t xml:space="preserve">to what extent </w:t>
      </w:r>
      <w:r>
        <w:t xml:space="preserve">are </w:t>
      </w:r>
      <w:r w:rsidR="00CC5F4E">
        <w:t>the case stud</w:t>
      </w:r>
      <w:r w:rsidR="00CD6CBE">
        <w:t xml:space="preserve">y topics </w:t>
      </w:r>
      <w:r w:rsidR="00CC5F4E">
        <w:t>representative of the broad range of ways that NHMRC’s activities lead to health improvements</w:t>
      </w:r>
      <w:r w:rsidR="00D0772D">
        <w:t>?</w:t>
      </w:r>
    </w:p>
    <w:p w14:paraId="0091766F" w14:textId="378DC161" w:rsidR="00C028F1" w:rsidRDefault="00D0772D" w:rsidP="00100519">
      <w:pPr>
        <w:pStyle w:val="ListParagraph"/>
        <w:numPr>
          <w:ilvl w:val="0"/>
          <w:numId w:val="31"/>
        </w:numPr>
      </w:pPr>
      <w:r w:rsidRPr="00413925">
        <w:rPr>
          <w:rStyle w:val="Heading6Char"/>
        </w:rPr>
        <w:t>Case study promotion</w:t>
      </w:r>
      <w:r>
        <w:t xml:space="preserve">: </w:t>
      </w:r>
      <w:r w:rsidR="005631F1">
        <w:t>what opportunities exist to improve case study promotion?</w:t>
      </w:r>
    </w:p>
    <w:p w14:paraId="6822755A" w14:textId="5BBF2F2E" w:rsidR="000C1AF0" w:rsidRDefault="008A5750" w:rsidP="008A5750">
      <w:pPr>
        <w:pStyle w:val="ListParagraph"/>
        <w:numPr>
          <w:ilvl w:val="0"/>
          <w:numId w:val="31"/>
        </w:numPr>
      </w:pPr>
      <w:r w:rsidRPr="00D0772D">
        <w:rPr>
          <w:rStyle w:val="Heading6Char"/>
        </w:rPr>
        <w:t>Case study use</w:t>
      </w:r>
      <w:r>
        <w:t>: what can we know about who is using the case studies and why?</w:t>
      </w:r>
    </w:p>
    <w:p w14:paraId="5081EE79" w14:textId="77777777" w:rsidR="000C1AF0" w:rsidRDefault="000C1AF0">
      <w:pPr>
        <w:spacing w:line="240" w:lineRule="atLeast"/>
      </w:pPr>
      <w:r>
        <w:br w:type="page"/>
      </w:r>
    </w:p>
    <w:p w14:paraId="067D5EEB" w14:textId="2A311FF0" w:rsidR="00112A83" w:rsidRPr="004965BA" w:rsidRDefault="00EE6C03" w:rsidP="004965BA">
      <w:pPr>
        <w:pStyle w:val="Heading2noline"/>
      </w:pPr>
      <w:bookmarkStart w:id="3" w:name="_Toc228953734"/>
      <w:r w:rsidRPr="004965BA">
        <w:lastRenderedPageBreak/>
        <w:t>Case study t</w:t>
      </w:r>
      <w:r w:rsidR="00701719" w:rsidRPr="004965BA">
        <w:t>opics</w:t>
      </w:r>
      <w:bookmarkEnd w:id="3"/>
      <w:r w:rsidR="00701719" w:rsidRPr="004965BA">
        <w:t xml:space="preserve"> </w:t>
      </w:r>
    </w:p>
    <w:p w14:paraId="1569CF8E" w14:textId="7E6E1014" w:rsidR="00E079BF" w:rsidRDefault="00E079BF" w:rsidP="00E079BF">
      <w:r>
        <w:t xml:space="preserve">A question that </w:t>
      </w:r>
      <w:r w:rsidR="0017023E">
        <w:t xml:space="preserve">is </w:t>
      </w:r>
      <w:r w:rsidR="0097123C">
        <w:t xml:space="preserve">periodically </w:t>
      </w:r>
      <w:r w:rsidR="00EE6C03">
        <w:t xml:space="preserve">asked </w:t>
      </w:r>
      <w:r>
        <w:t xml:space="preserve">about the </w:t>
      </w:r>
      <w:r w:rsidR="00E16D34">
        <w:t xml:space="preserve">case study </w:t>
      </w:r>
      <w:r>
        <w:t xml:space="preserve">business activity is ‘how </w:t>
      </w:r>
      <w:r w:rsidR="00E16D34">
        <w:t xml:space="preserve">are the </w:t>
      </w:r>
      <w:r>
        <w:t>topics of the case studies</w:t>
      </w:r>
      <w:r w:rsidR="00E16D34">
        <w:t xml:space="preserve"> chosen</w:t>
      </w:r>
      <w:r>
        <w:t xml:space="preserve">?’ Because a case study </w:t>
      </w:r>
      <w:r w:rsidR="00510CC5">
        <w:t xml:space="preserve">may be understood as </w:t>
      </w:r>
      <w:r>
        <w:t xml:space="preserve">a public </w:t>
      </w:r>
      <w:r w:rsidR="00FF63DC">
        <w:t xml:space="preserve">statement </w:t>
      </w:r>
      <w:r>
        <w:t>that NHMRC values a certain type of research and</w:t>
      </w:r>
      <w:r w:rsidR="000E37FB">
        <w:t xml:space="preserve"> – </w:t>
      </w:r>
      <w:r>
        <w:t>implicitly</w:t>
      </w:r>
      <w:r w:rsidR="000E37FB">
        <w:t xml:space="preserve"> –</w:t>
      </w:r>
      <w:r w:rsidR="00510CC5">
        <w:t xml:space="preserve"> </w:t>
      </w:r>
      <w:r>
        <w:t xml:space="preserve">the researchers and institutions involved, it is important that </w:t>
      </w:r>
      <w:r w:rsidR="00891EE5">
        <w:t xml:space="preserve">the case studies be broadly representative of the range of types of research that </w:t>
      </w:r>
      <w:r w:rsidR="0097123C">
        <w:t>NHMRC funds</w:t>
      </w:r>
      <w:r w:rsidR="00891EE5">
        <w:t>.</w:t>
      </w:r>
    </w:p>
    <w:p w14:paraId="555D364A" w14:textId="1C0F4B45" w:rsidR="00910409" w:rsidRDefault="00910409" w:rsidP="00FA76A4">
      <w:pPr>
        <w:pStyle w:val="Heading5"/>
      </w:pPr>
      <w:r>
        <w:t>Pathways to impact</w:t>
      </w:r>
    </w:p>
    <w:p w14:paraId="7E794DEE" w14:textId="6C0AE75E" w:rsidR="00EA25C8" w:rsidRDefault="00EA25C8" w:rsidP="00EA25C8">
      <w:r>
        <w:t xml:space="preserve">As shown in </w:t>
      </w:r>
      <w:r w:rsidRPr="003F7CE7">
        <w:rPr>
          <w:u w:val="single"/>
        </w:rPr>
        <w:t xml:space="preserve">Figure </w:t>
      </w:r>
      <w:r w:rsidR="00C95AC8">
        <w:rPr>
          <w:u w:val="single"/>
        </w:rPr>
        <w:t>3</w:t>
      </w:r>
      <w:r>
        <w:t>, changes to clinical practice and the development of pharmaceuticals are two key impacts described in the case studies.</w:t>
      </w:r>
      <w:r w:rsidR="00F54C91">
        <w:t xml:space="preserve"> Because case study topics are specifically chosen to demonstrate health impacts, it is only occasionally that a case study focuses on knowledge impacts, which is why this category includes the smallest </w:t>
      </w:r>
      <w:r w:rsidR="0036362E">
        <w:t>number of case studies.</w:t>
      </w:r>
    </w:p>
    <w:p w14:paraId="0EAF8C4A" w14:textId="6BD89889" w:rsidR="00EA25C8" w:rsidRDefault="00EA25C8" w:rsidP="00047195">
      <w:pPr>
        <w:pStyle w:val="FigureTitle"/>
        <w:numPr>
          <w:ilvl w:val="0"/>
          <w:numId w:val="25"/>
        </w:numPr>
      </w:pPr>
      <w:r>
        <w:t xml:space="preserve">Count of </w:t>
      </w:r>
      <w:r w:rsidR="00CA24F3">
        <w:t xml:space="preserve">case studies by </w:t>
      </w:r>
      <w:r>
        <w:t>pathway to impact</w:t>
      </w:r>
    </w:p>
    <w:p w14:paraId="7FA5AADA" w14:textId="77777777" w:rsidR="00EA25C8" w:rsidRDefault="00EA25C8" w:rsidP="00EA25C8">
      <w:r>
        <w:rPr>
          <w:noProof/>
        </w:rPr>
        <w:drawing>
          <wp:inline distT="0" distB="0" distL="0" distR="0" wp14:anchorId="11986156" wp14:editId="17457ABE">
            <wp:extent cx="4676322" cy="2805404"/>
            <wp:effectExtent l="0" t="0" r="0" b="0"/>
            <wp:docPr id="956179629" name="Picture 11" descr="A bar chart showing the number of case studies whose primary pathway to impact was clinical practice, pharmaceutical, public health, devices or knowledge. The chart shows the existence of 25 clinical practice case studies, 15 on pharmaceuticals, over 10 on public health, and smaller numbers for the other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79629" name="Picture 11" descr="A bar chart showing the number of case studies whose primary pathway to impact was clinical practice, pharmaceutical, public health, devices or knowledge. The chart shows the existence of 25 clinical practice case studies, 15 on pharmaceuticals, over 10 on public health, and smaller numbers for the other categori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1679" cy="2814617"/>
                    </a:xfrm>
                    <a:prstGeom prst="rect">
                      <a:avLst/>
                    </a:prstGeom>
                    <a:noFill/>
                  </pic:spPr>
                </pic:pic>
              </a:graphicData>
            </a:graphic>
          </wp:inline>
        </w:drawing>
      </w:r>
    </w:p>
    <w:p w14:paraId="338C3468" w14:textId="39783DDE" w:rsidR="003D615D" w:rsidRDefault="00DC4E20" w:rsidP="00EA25C8">
      <w:r>
        <w:t>Compared to the Broad Research Areas</w:t>
      </w:r>
      <w:r w:rsidR="005651CE">
        <w:t xml:space="preserve"> (BRAs)</w:t>
      </w:r>
      <w:r>
        <w:t xml:space="preserve"> of all NHMRC grants since 1999, the </w:t>
      </w:r>
      <w:r w:rsidR="009268AF">
        <w:t xml:space="preserve">grants underpinning case study research </w:t>
      </w:r>
      <w:r w:rsidR="0065206B">
        <w:t xml:space="preserve">are more often categorised as health services and public health, and less often as basic research, with clinical medicine </w:t>
      </w:r>
      <w:r w:rsidR="00E86A4D">
        <w:t>grants being about equally represented</w:t>
      </w:r>
      <w:r w:rsidR="002E14E5">
        <w:t xml:space="preserve"> (refer </w:t>
      </w:r>
      <w:r w:rsidR="002E14E5" w:rsidRPr="002E14E5">
        <w:rPr>
          <w:u w:val="single"/>
        </w:rPr>
        <w:t>Figure 4</w:t>
      </w:r>
      <w:r w:rsidR="002E14E5">
        <w:t>).</w:t>
      </w:r>
    </w:p>
    <w:p w14:paraId="71766ECF" w14:textId="314D680B" w:rsidR="004B3CCB" w:rsidRDefault="004B3CCB" w:rsidP="00EA25C8">
      <w:r>
        <w:t xml:space="preserve">Notwithstanding the above, and as shown in </w:t>
      </w:r>
      <w:r w:rsidRPr="003D6A32">
        <w:rPr>
          <w:u w:val="single"/>
        </w:rPr>
        <w:t xml:space="preserve">Figure </w:t>
      </w:r>
      <w:r>
        <w:rPr>
          <w:u w:val="single"/>
        </w:rPr>
        <w:t>5</w:t>
      </w:r>
      <w:r>
        <w:t>, most health interventions described within the case studies are biomedical and operate at the level of molecules, cells or tissues, rather than at the level of the whole individual or at the level of society.</w:t>
      </w:r>
      <w:r>
        <w:rPr>
          <w:rStyle w:val="FootnoteReference"/>
        </w:rPr>
        <w:footnoteReference w:id="1"/>
      </w:r>
      <w:r>
        <w:t xml:space="preserve"> </w:t>
      </w:r>
    </w:p>
    <w:p w14:paraId="376BB2E6" w14:textId="7985F2D9" w:rsidR="003D615D" w:rsidRDefault="00DE5DD0" w:rsidP="003D615D">
      <w:pPr>
        <w:pStyle w:val="FigureTitle"/>
        <w:numPr>
          <w:ilvl w:val="0"/>
          <w:numId w:val="25"/>
        </w:numPr>
      </w:pPr>
      <w:r>
        <w:lastRenderedPageBreak/>
        <w:t xml:space="preserve">Proportion of </w:t>
      </w:r>
      <w:r w:rsidR="003D615D">
        <w:t>case stud</w:t>
      </w:r>
      <w:r>
        <w:t xml:space="preserve">y underpinning grants </w:t>
      </w:r>
      <w:r w:rsidR="00D60A77">
        <w:t xml:space="preserve">and all grants </w:t>
      </w:r>
      <w:r w:rsidR="003D615D">
        <w:t xml:space="preserve">by </w:t>
      </w:r>
      <w:r>
        <w:t>B</w:t>
      </w:r>
      <w:r w:rsidR="00871FC4">
        <w:t>RA since 1999</w:t>
      </w:r>
    </w:p>
    <w:p w14:paraId="0E5E4B7B" w14:textId="6B97A2E2" w:rsidR="000277E5" w:rsidRDefault="000277E5" w:rsidP="00FA6F15">
      <w:pPr>
        <w:tabs>
          <w:tab w:val="left" w:pos="1843"/>
        </w:tabs>
      </w:pPr>
      <w:r>
        <w:rPr>
          <w:noProof/>
        </w:rPr>
        <w:drawing>
          <wp:inline distT="0" distB="0" distL="0" distR="0" wp14:anchorId="386E2F57" wp14:editId="1832F14D">
            <wp:extent cx="5468607" cy="3621070"/>
            <wp:effectExtent l="0" t="0" r="0" b="0"/>
            <wp:docPr id="1684373858" name="Picture 2" descr="A bar chart showing the proportion of all NHMRC grants and grants associated with case studies by Broad Research Area, since 1992. The chart shows comparatively stronger performance of case studies for the later stage (more applied) BRAs, while the situation for all grants is rever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73858" name="Picture 2" descr="A bar chart showing the proportion of all NHMRC grants and grants associated with case studies by Broad Research Area, since 1992. The chart shows comparatively stronger performance of case studies for the later stage (more applied) BRAs, while the situation for all grants is revers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8416" cy="3627565"/>
                    </a:xfrm>
                    <a:prstGeom prst="rect">
                      <a:avLst/>
                    </a:prstGeom>
                    <a:noFill/>
                  </pic:spPr>
                </pic:pic>
              </a:graphicData>
            </a:graphic>
          </wp:inline>
        </w:drawing>
      </w:r>
    </w:p>
    <w:p w14:paraId="269A9610" w14:textId="5820D4C2" w:rsidR="0060216C" w:rsidRDefault="0060216C" w:rsidP="00047195">
      <w:pPr>
        <w:pStyle w:val="FigureTitle"/>
        <w:numPr>
          <w:ilvl w:val="0"/>
          <w:numId w:val="25"/>
        </w:numPr>
      </w:pPr>
      <w:r>
        <w:t xml:space="preserve">Count of </w:t>
      </w:r>
      <w:r w:rsidR="00FA1F18">
        <w:t>case studies by Scale of Life category</w:t>
      </w:r>
    </w:p>
    <w:p w14:paraId="32B63925" w14:textId="575E23EE" w:rsidR="0060216C" w:rsidRDefault="0060216C" w:rsidP="00EA25C8">
      <w:r>
        <w:rPr>
          <w:noProof/>
        </w:rPr>
        <w:drawing>
          <wp:inline distT="0" distB="0" distL="0" distR="0" wp14:anchorId="51953BD3" wp14:editId="0F468E58">
            <wp:extent cx="3738465" cy="3202839"/>
            <wp:effectExtent l="0" t="0" r="0" b="0"/>
            <wp:docPr id="7" name="Picture 6" descr="A bar chart showing the number of case studies related to the molecular, cellular or tissue level, the individual (whole person) level, or at the level of populations and societies. The chart shows almost three times more case studies for molecules, cells and tissues than for populations and societies, with individuals falling between the two.">
              <a:extLst xmlns:a="http://schemas.openxmlformats.org/drawingml/2006/main">
                <a:ext uri="{FF2B5EF4-FFF2-40B4-BE49-F238E27FC236}">
                  <a16:creationId xmlns:a16="http://schemas.microsoft.com/office/drawing/2014/main" id="{6D56F594-C56E-34AC-6425-01874035FA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ar chart showing the number of case studies related to the molecular, cellular or tissue level, the individual (whole person) level, or at the level of populations and societies. The chart shows almost three times more case studies for molecules, cells and tissues than for populations and societies, with individuals falling between the two.">
                      <a:extLst>
                        <a:ext uri="{FF2B5EF4-FFF2-40B4-BE49-F238E27FC236}">
                          <a16:creationId xmlns:a16="http://schemas.microsoft.com/office/drawing/2014/main" id="{6D56F594-C56E-34AC-6425-01874035FA63}"/>
                        </a:ext>
                      </a:extLst>
                    </pic:cNvPr>
                    <pic:cNvPicPr>
                      <a:picLocks noChangeAspect="1"/>
                    </pic:cNvPicPr>
                  </pic:nvPicPr>
                  <pic:blipFill>
                    <a:blip r:embed="rId14"/>
                    <a:stretch>
                      <a:fillRect/>
                    </a:stretch>
                  </pic:blipFill>
                  <pic:spPr>
                    <a:xfrm>
                      <a:off x="0" y="0"/>
                      <a:ext cx="3738465" cy="3202839"/>
                    </a:xfrm>
                    <a:prstGeom prst="rect">
                      <a:avLst/>
                    </a:prstGeom>
                  </pic:spPr>
                </pic:pic>
              </a:graphicData>
            </a:graphic>
          </wp:inline>
        </w:drawing>
      </w:r>
    </w:p>
    <w:p w14:paraId="454A69D9" w14:textId="77777777" w:rsidR="00811A51" w:rsidRDefault="00811A51" w:rsidP="00EA25C8"/>
    <w:p w14:paraId="436F36BB" w14:textId="59A86248" w:rsidR="00910409" w:rsidRDefault="00383FA8" w:rsidP="00FA76A4">
      <w:pPr>
        <w:pStyle w:val="Heading5"/>
      </w:pPr>
      <w:r>
        <w:lastRenderedPageBreak/>
        <w:t>Health categories</w:t>
      </w:r>
    </w:p>
    <w:p w14:paraId="5E9ECE8B" w14:textId="6A1C7F34" w:rsidR="00F87612" w:rsidRDefault="00F87612" w:rsidP="00F87612">
      <w:r>
        <w:t xml:space="preserve">As shown in </w:t>
      </w:r>
      <w:r w:rsidRPr="00EE0185">
        <w:rPr>
          <w:u w:val="single"/>
        </w:rPr>
        <w:t xml:space="preserve">Figure </w:t>
      </w:r>
      <w:r w:rsidR="005651CE">
        <w:rPr>
          <w:u w:val="single"/>
        </w:rPr>
        <w:t>6</w:t>
      </w:r>
      <w:r>
        <w:t xml:space="preserve">, when UK Health Research Classification System (HRCS) health categories are assigned to each case study, the most common topics are infection, reproduction and childbirth, and respiration. Of the 20 standard top-level </w:t>
      </w:r>
      <w:r w:rsidR="00D4762A">
        <w:t xml:space="preserve">HRCS </w:t>
      </w:r>
      <w:r>
        <w:t>health categories</w:t>
      </w:r>
      <w:r w:rsidR="0019272D">
        <w:t xml:space="preserve">, </w:t>
      </w:r>
      <w:r w:rsidR="00673065">
        <w:t xml:space="preserve">and at the time of publication of this report, </w:t>
      </w:r>
      <w:r>
        <w:t>case studies ha</w:t>
      </w:r>
      <w:r w:rsidR="0019272D">
        <w:t>d</w:t>
      </w:r>
      <w:r>
        <w:t xml:space="preserve"> been drafted within </w:t>
      </w:r>
      <w:r w:rsidR="00673065">
        <w:t xml:space="preserve">all of </w:t>
      </w:r>
      <w:r>
        <w:t>them.</w:t>
      </w:r>
    </w:p>
    <w:p w14:paraId="1A8F1891" w14:textId="26B3731A" w:rsidR="00546FC7" w:rsidRDefault="00546FC7" w:rsidP="00047195">
      <w:pPr>
        <w:pStyle w:val="FigureTitle"/>
        <w:numPr>
          <w:ilvl w:val="0"/>
          <w:numId w:val="25"/>
        </w:numPr>
      </w:pPr>
      <w:r>
        <w:t xml:space="preserve">Count of </w:t>
      </w:r>
      <w:r w:rsidR="00BE1E9C">
        <w:t xml:space="preserve">primary </w:t>
      </w:r>
      <w:r w:rsidR="00C40CED">
        <w:t>HRCS Health C</w:t>
      </w:r>
      <w:r w:rsidR="00BE1E9C">
        <w:t>ategory for each case study</w:t>
      </w:r>
    </w:p>
    <w:p w14:paraId="54274341" w14:textId="7343C6DC" w:rsidR="00C40CED" w:rsidRDefault="00C40CED" w:rsidP="008237A7">
      <w:r>
        <w:rPr>
          <w:noProof/>
        </w:rPr>
        <w:drawing>
          <wp:inline distT="0" distB="0" distL="0" distR="0" wp14:anchorId="25DC45CA" wp14:editId="245B8C97">
            <wp:extent cx="6560185" cy="3705232"/>
            <wp:effectExtent l="0" t="0" r="0" b="9525"/>
            <wp:docPr id="373496944" name="Picture 15" descr="A bar chart showing the number of case studies for each UK Health Research Classification System health category. The chart shows that five of the categories have one case study relating to them, 3 relate to two case studies, 4 relate to three case studies, and the remaining six categories each relate to four or more cas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96944" name="Picture 15" descr="A bar chart showing the number of case studies for each UK Health Research Classification System health category. The chart shows that five of the categories have one case study relating to them, 3 relate to two case studies, 4 relate to three case studies, and the remaining six categories each relate to four or more case studi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70093" cy="3710828"/>
                    </a:xfrm>
                    <a:prstGeom prst="rect">
                      <a:avLst/>
                    </a:prstGeom>
                    <a:noFill/>
                  </pic:spPr>
                </pic:pic>
              </a:graphicData>
            </a:graphic>
          </wp:inline>
        </w:drawing>
      </w:r>
    </w:p>
    <w:p w14:paraId="0B7C7EBA" w14:textId="55BA362A" w:rsidR="00383FA8" w:rsidRDefault="00383FA8" w:rsidP="00FA76A4">
      <w:pPr>
        <w:pStyle w:val="Heading5"/>
      </w:pPr>
      <w:r>
        <w:t>Research activities</w:t>
      </w:r>
    </w:p>
    <w:p w14:paraId="181B64AD" w14:textId="15E6172D" w:rsidR="001D0DEE" w:rsidRDefault="001D0DEE" w:rsidP="001D0DEE">
      <w:r>
        <w:t xml:space="preserve">The HRCS classification system also includes a set of 8 research activity categories. As shown in </w:t>
      </w:r>
      <w:r w:rsidRPr="004736DB">
        <w:rPr>
          <w:u w:val="single"/>
        </w:rPr>
        <w:t xml:space="preserve">Figure </w:t>
      </w:r>
      <w:r w:rsidR="00EB0EFE">
        <w:rPr>
          <w:u w:val="single"/>
        </w:rPr>
        <w:t>7</w:t>
      </w:r>
      <w:r>
        <w:t xml:space="preserve">, case studies have been developed within each of them, however more than half of the case studies fall into the categories of development and evaluation of treatments, and detection, screening and diagnosis. </w:t>
      </w:r>
    </w:p>
    <w:p w14:paraId="53E3E739" w14:textId="22F3B823" w:rsidR="00F40EAC" w:rsidRDefault="00F40EAC" w:rsidP="00047195">
      <w:pPr>
        <w:pStyle w:val="FigureTitle"/>
        <w:numPr>
          <w:ilvl w:val="0"/>
          <w:numId w:val="25"/>
        </w:numPr>
      </w:pPr>
      <w:r>
        <w:lastRenderedPageBreak/>
        <w:t xml:space="preserve">Count of primary HRCS </w:t>
      </w:r>
      <w:r w:rsidR="007A6C15">
        <w:t>r</w:t>
      </w:r>
      <w:r w:rsidR="00AA7F8E">
        <w:t xml:space="preserve">esearch </w:t>
      </w:r>
      <w:r w:rsidR="007A6C15">
        <w:t>a</w:t>
      </w:r>
      <w:r w:rsidR="00AA7F8E">
        <w:t>ctivities</w:t>
      </w:r>
      <w:r>
        <w:t xml:space="preserve"> for each case study</w:t>
      </w:r>
    </w:p>
    <w:p w14:paraId="200EAC4B" w14:textId="75DFB9B3" w:rsidR="00F40EAC" w:rsidRDefault="00F40EAC" w:rsidP="008237A7">
      <w:r>
        <w:rPr>
          <w:noProof/>
        </w:rPr>
        <w:drawing>
          <wp:inline distT="0" distB="0" distL="0" distR="0" wp14:anchorId="22E3F593" wp14:editId="69466A7C">
            <wp:extent cx="6173923" cy="3486561"/>
            <wp:effectExtent l="0" t="0" r="0" b="0"/>
            <wp:docPr id="5" name="Picture 4" descr="A bar chart showing the number of case studies for each UK Health Research Classification System health category. The chart shows that five of the categories have one case study relating to them, 3 relate to two case studies, 4 relate to three case studies, and the remaining six categories each relate to four or more case studies.">
              <a:extLst xmlns:a="http://schemas.openxmlformats.org/drawingml/2006/main">
                <a:ext uri="{FF2B5EF4-FFF2-40B4-BE49-F238E27FC236}">
                  <a16:creationId xmlns:a16="http://schemas.microsoft.com/office/drawing/2014/main" id="{C32E21BE-E93D-71DF-C2C3-E636C64677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ar chart showing the number of case studies for each UK Health Research Classification System health category. The chart shows that five of the categories have one case study relating to them, 3 relate to two case studies, 4 relate to three case studies, and the remaining six categories each relate to four or more case studies.">
                      <a:extLst>
                        <a:ext uri="{FF2B5EF4-FFF2-40B4-BE49-F238E27FC236}">
                          <a16:creationId xmlns:a16="http://schemas.microsoft.com/office/drawing/2014/main" id="{C32E21BE-E93D-71DF-C2C3-E636C64677D5}"/>
                        </a:ext>
                      </a:extLst>
                    </pic:cNvPr>
                    <pic:cNvPicPr>
                      <a:picLocks noChangeAspect="1"/>
                    </pic:cNvPicPr>
                  </pic:nvPicPr>
                  <pic:blipFill>
                    <a:blip r:embed="rId16"/>
                    <a:stretch>
                      <a:fillRect/>
                    </a:stretch>
                  </pic:blipFill>
                  <pic:spPr>
                    <a:xfrm>
                      <a:off x="0" y="0"/>
                      <a:ext cx="6214181" cy="3509296"/>
                    </a:xfrm>
                    <a:prstGeom prst="rect">
                      <a:avLst/>
                    </a:prstGeom>
                  </pic:spPr>
                </pic:pic>
              </a:graphicData>
            </a:graphic>
          </wp:inline>
        </w:drawing>
      </w:r>
    </w:p>
    <w:p w14:paraId="0120BF0D" w14:textId="6EAD2C84" w:rsidR="001D0DEE" w:rsidRDefault="001D0DEE" w:rsidP="00FA76A4">
      <w:pPr>
        <w:pStyle w:val="Heading5"/>
      </w:pPr>
      <w:r>
        <w:t>Population groups</w:t>
      </w:r>
    </w:p>
    <w:p w14:paraId="686C547B" w14:textId="44412794" w:rsidR="00F87612" w:rsidRDefault="00EB0EFE" w:rsidP="00F87612">
      <w:r>
        <w:t>The Australian Institute of Health and Welfare (</w:t>
      </w:r>
      <w:r w:rsidR="00F87612">
        <w:t>AIHW</w:t>
      </w:r>
      <w:r>
        <w:t>)</w:t>
      </w:r>
      <w:r w:rsidR="00F87612">
        <w:t xml:space="preserve"> collects statistics for 11 </w:t>
      </w:r>
      <w:hyperlink r:id="rId17" w:history="1">
        <w:r w:rsidR="00F87612" w:rsidRPr="00F9561D">
          <w:rPr>
            <w:rStyle w:val="Hyperlink"/>
          </w:rPr>
          <w:t>population groups</w:t>
        </w:r>
      </w:hyperlink>
      <w:r w:rsidR="00F87612">
        <w:t xml:space="preserve">. </w:t>
      </w:r>
      <w:r w:rsidR="00F87612" w:rsidRPr="00877F70">
        <w:rPr>
          <w:u w:val="single"/>
        </w:rPr>
        <w:t xml:space="preserve">Figure </w:t>
      </w:r>
      <w:r>
        <w:rPr>
          <w:u w:val="single"/>
        </w:rPr>
        <w:t>8</w:t>
      </w:r>
      <w:r w:rsidR="00F87612">
        <w:t xml:space="preserve"> classifies each case study according to the most relevant AIHW population group, or else uses ‘general population’ where no sub-population is deemed to be relevant. Older people, children and youth, and mothers and babies are the most prevalent sub-populations relevant to the case studies, w</w:t>
      </w:r>
      <w:r w:rsidR="00720132">
        <w:t>hile</w:t>
      </w:r>
      <w:r w:rsidR="00F87612">
        <w:t xml:space="preserve"> about one quarter of case studies relat</w:t>
      </w:r>
      <w:r w:rsidR="00720132">
        <w:t>e</w:t>
      </w:r>
      <w:r w:rsidR="00F87612">
        <w:t xml:space="preserve"> to the general population.</w:t>
      </w:r>
    </w:p>
    <w:p w14:paraId="221C1B43" w14:textId="1C07B99A" w:rsidR="00332C41" w:rsidRDefault="00332C41" w:rsidP="00047195">
      <w:pPr>
        <w:pStyle w:val="FigureTitle"/>
        <w:numPr>
          <w:ilvl w:val="0"/>
          <w:numId w:val="25"/>
        </w:numPr>
      </w:pPr>
      <w:r>
        <w:t xml:space="preserve">Count of </w:t>
      </w:r>
      <w:r w:rsidR="00731C23">
        <w:t xml:space="preserve">case studies by </w:t>
      </w:r>
      <w:r w:rsidR="004753C6">
        <w:t xml:space="preserve">focus on </w:t>
      </w:r>
      <w:r>
        <w:t xml:space="preserve">primary </w:t>
      </w:r>
      <w:r w:rsidR="00D170C2">
        <w:t>AIHW health population group</w:t>
      </w:r>
      <w:r w:rsidR="00731C23">
        <w:t xml:space="preserve"> </w:t>
      </w:r>
    </w:p>
    <w:p w14:paraId="46FF33DA" w14:textId="0B2DBD82" w:rsidR="00BC3333" w:rsidRDefault="00332C41" w:rsidP="008237A7">
      <w:r>
        <w:rPr>
          <w:noProof/>
        </w:rPr>
        <w:drawing>
          <wp:inline distT="0" distB="0" distL="0" distR="0" wp14:anchorId="09169418" wp14:editId="7DE14685">
            <wp:extent cx="4578578" cy="2746765"/>
            <wp:effectExtent l="0" t="0" r="0" b="0"/>
            <wp:docPr id="278487031" name="Picture 14" descr="A bar chart showing the number of case studies for each UK Health Research Classification System research activity category. The chart shows that, of the 8 primary groups, five relate to 6 or less case studies each, with the remaining three (on treatment and diagnosis) account for over 40 coll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87031" name="Picture 14" descr="A bar chart showing the number of case studies for each UK Health Research Classification System research activity category. The chart shows that, of the 8 primary groups, five relate to 6 or less case studies each, with the remaining three (on treatment and diagnosis) account for over 40 collectivel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8429" cy="2752675"/>
                    </a:xfrm>
                    <a:prstGeom prst="rect">
                      <a:avLst/>
                    </a:prstGeom>
                    <a:noFill/>
                  </pic:spPr>
                </pic:pic>
              </a:graphicData>
            </a:graphic>
          </wp:inline>
        </w:drawing>
      </w:r>
    </w:p>
    <w:p w14:paraId="0A11E1E7" w14:textId="2A611EB1" w:rsidR="001D0DEE" w:rsidRDefault="00720132" w:rsidP="00FA76A4">
      <w:pPr>
        <w:pStyle w:val="Heading5"/>
      </w:pPr>
      <w:r>
        <w:lastRenderedPageBreak/>
        <w:t>Timeline durations</w:t>
      </w:r>
    </w:p>
    <w:p w14:paraId="1A7EB5D1" w14:textId="68895F02" w:rsidR="001D0DEE" w:rsidRDefault="00720132" w:rsidP="008237A7">
      <w:r>
        <w:t xml:space="preserve">The poster for each case study includes a timeline, and by subtracting the year of the first event </w:t>
      </w:r>
      <w:r w:rsidR="00F046E9">
        <w:t>shown on the timeline from the year of the last event,</w:t>
      </w:r>
      <w:r w:rsidR="0034671C">
        <w:t xml:space="preserve"> a total duration in years may be calculated for each case study. </w:t>
      </w:r>
      <w:r w:rsidR="00B427AC">
        <w:t xml:space="preserve">As shown in </w:t>
      </w:r>
      <w:r w:rsidR="004568BA" w:rsidRPr="009B6367">
        <w:rPr>
          <w:u w:val="single"/>
        </w:rPr>
        <w:t>Figure 9</w:t>
      </w:r>
      <w:r w:rsidR="00B427AC">
        <w:t xml:space="preserve"> this data</w:t>
      </w:r>
      <w:r w:rsidR="004568BA">
        <w:t xml:space="preserve"> follows a</w:t>
      </w:r>
      <w:r w:rsidR="00E21AB5">
        <w:t xml:space="preserve">n approximately </w:t>
      </w:r>
      <w:r w:rsidR="004568BA">
        <w:t>bell-shaped distribution</w:t>
      </w:r>
      <w:r w:rsidR="00CB7F6F">
        <w:t xml:space="preserve"> </w:t>
      </w:r>
      <w:r w:rsidR="00BC3208">
        <w:t>with a modal (most common) duration of 20-29 years.</w:t>
      </w:r>
      <w:r w:rsidR="005B4891">
        <w:rPr>
          <w:rStyle w:val="FootnoteReference"/>
        </w:rPr>
        <w:footnoteReference w:id="2"/>
      </w:r>
    </w:p>
    <w:p w14:paraId="0BA27E74" w14:textId="3053A68F" w:rsidR="00F300C6" w:rsidRDefault="00F300C6" w:rsidP="00F300C6">
      <w:pPr>
        <w:pStyle w:val="FigureTitle"/>
        <w:numPr>
          <w:ilvl w:val="0"/>
          <w:numId w:val="25"/>
        </w:numPr>
      </w:pPr>
      <w:r>
        <w:t>Count of case study timeline duration periods</w:t>
      </w:r>
    </w:p>
    <w:p w14:paraId="2EF204AE" w14:textId="345D9C88" w:rsidR="00BA39CB" w:rsidRDefault="00BA39CB" w:rsidP="00F300C6">
      <w:r>
        <w:rPr>
          <w:noProof/>
        </w:rPr>
        <w:drawing>
          <wp:inline distT="0" distB="0" distL="0" distR="0" wp14:anchorId="2F5BCC60" wp14:editId="4F93A1B1">
            <wp:extent cx="5100247" cy="3059723"/>
            <wp:effectExtent l="0" t="0" r="5715" b="7620"/>
            <wp:docPr id="1023311067" name="Picture 11" descr="A bar chart - with included trend line - showing the number of case studies per timeline duration. The chart shows 8 10-year duration categories, with 20-29 and 30-39 accounting for about half of all cas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311067" name="Picture 11" descr="A bar chart - with included trend line - showing the number of case studies per timeline duration. The chart shows 8 10-year duration categories, with 20-29 and 30-39 accounting for about half of all case stud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1161" cy="3060271"/>
                    </a:xfrm>
                    <a:prstGeom prst="rect">
                      <a:avLst/>
                    </a:prstGeom>
                    <a:noFill/>
                  </pic:spPr>
                </pic:pic>
              </a:graphicData>
            </a:graphic>
          </wp:inline>
        </w:drawing>
      </w:r>
    </w:p>
    <w:p w14:paraId="28B2E6CA" w14:textId="6B899320" w:rsidR="00290ADB" w:rsidRDefault="000F0D60" w:rsidP="00FA76A4">
      <w:pPr>
        <w:pStyle w:val="Heading5"/>
      </w:pPr>
      <w:r>
        <w:t>Researcher gender</w:t>
      </w:r>
    </w:p>
    <w:p w14:paraId="1C29859B" w14:textId="0E7A1B45" w:rsidR="005C376C" w:rsidRDefault="00840B36" w:rsidP="005C376C">
      <w:r>
        <w:t xml:space="preserve">Each case study includes a profile section wherein </w:t>
      </w:r>
      <w:r w:rsidR="004A4887">
        <w:t xml:space="preserve">are listed </w:t>
      </w:r>
      <w:r>
        <w:t xml:space="preserve">the names </w:t>
      </w:r>
      <w:r w:rsidR="004A4887">
        <w:t xml:space="preserve">and career histories </w:t>
      </w:r>
      <w:r>
        <w:t xml:space="preserve">of </w:t>
      </w:r>
      <w:r w:rsidR="004A4887">
        <w:t xml:space="preserve">the </w:t>
      </w:r>
      <w:r>
        <w:t xml:space="preserve">key researchers responsible for the impact. </w:t>
      </w:r>
      <w:r w:rsidR="005C376C">
        <w:t xml:space="preserve">As shown in </w:t>
      </w:r>
      <w:r w:rsidR="005C376C" w:rsidRPr="00C73745">
        <w:rPr>
          <w:u w:val="single"/>
        </w:rPr>
        <w:t xml:space="preserve">Figure </w:t>
      </w:r>
      <w:r w:rsidR="00133C37">
        <w:rPr>
          <w:u w:val="single"/>
        </w:rPr>
        <w:t>10</w:t>
      </w:r>
      <w:r w:rsidR="005C376C">
        <w:t xml:space="preserve">, the proportion of </w:t>
      </w:r>
      <w:r w:rsidR="00283420">
        <w:t xml:space="preserve">women </w:t>
      </w:r>
      <w:r w:rsidR="005C376C">
        <w:t>researchers profiled within the case studies has been increasing linearly over the time periods shown in the figure.</w:t>
      </w:r>
      <w:r w:rsidR="00757FE6">
        <w:rPr>
          <w:rStyle w:val="FootnoteReference"/>
        </w:rPr>
        <w:footnoteReference w:id="3"/>
      </w:r>
      <w:r w:rsidR="005C376C">
        <w:t xml:space="preserve"> For the period of the 2010s, this proportion </w:t>
      </w:r>
      <w:r w:rsidR="006D1015">
        <w:t xml:space="preserve">of profiled female researchers </w:t>
      </w:r>
      <w:r w:rsidR="005C376C">
        <w:t>exceeds 50%</w:t>
      </w:r>
      <w:r w:rsidR="00D32110">
        <w:t>.</w:t>
      </w:r>
    </w:p>
    <w:p w14:paraId="7FF75735" w14:textId="24248D06" w:rsidR="005C376C" w:rsidRDefault="005C376C" w:rsidP="00047195">
      <w:pPr>
        <w:pStyle w:val="FigureTitle"/>
        <w:numPr>
          <w:ilvl w:val="0"/>
          <w:numId w:val="25"/>
        </w:numPr>
      </w:pPr>
      <w:r>
        <w:lastRenderedPageBreak/>
        <w:t>Proportion of female researchers</w:t>
      </w:r>
      <w:r w:rsidR="00D32110">
        <w:t xml:space="preserve"> profiled </w:t>
      </w:r>
      <w:r w:rsidR="00282710">
        <w:t xml:space="preserve">in </w:t>
      </w:r>
      <w:r>
        <w:t>case stud</w:t>
      </w:r>
      <w:r w:rsidR="00282710">
        <w:t>ies over time</w:t>
      </w:r>
    </w:p>
    <w:p w14:paraId="4ED98C88" w14:textId="77777777" w:rsidR="005C376C" w:rsidRDefault="005C376C" w:rsidP="005C376C">
      <w:r>
        <w:rPr>
          <w:noProof/>
        </w:rPr>
        <w:drawing>
          <wp:inline distT="0" distB="0" distL="0" distR="0" wp14:anchorId="21CAA74F" wp14:editId="3CD65DF6">
            <wp:extent cx="4694555" cy="2847340"/>
            <wp:effectExtent l="0" t="0" r="0" b="0"/>
            <wp:docPr id="1207311237" name="Picture 6" descr="A bar chart, with included trend line, showing the number of female researchers profiled in case studies by time period. The chart shows a roughly linear increase in the proportion of female researchers from less than 10% pre-1970 to over 50% since the 201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11237" name="Picture 6" descr="A bar chart, with included trend line, showing the number of female researchers profiled in case studies by time period. The chart shows a roughly linear increase in the proportion of female researchers from less than 10% pre-1970 to over 50% since the 2010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4555" cy="2847340"/>
                    </a:xfrm>
                    <a:prstGeom prst="rect">
                      <a:avLst/>
                    </a:prstGeom>
                    <a:noFill/>
                  </pic:spPr>
                </pic:pic>
              </a:graphicData>
            </a:graphic>
          </wp:inline>
        </w:drawing>
      </w:r>
    </w:p>
    <w:p w14:paraId="4AE4A0DB" w14:textId="77291DB3" w:rsidR="00140B7C" w:rsidRDefault="00E079BF" w:rsidP="00FA76A4">
      <w:pPr>
        <w:pStyle w:val="Heading5"/>
      </w:pPr>
      <w:r>
        <w:t>Researcher affiliation</w:t>
      </w:r>
    </w:p>
    <w:p w14:paraId="441E0D3B" w14:textId="442BE033" w:rsidR="00556704" w:rsidRDefault="005B1A05" w:rsidP="005C376C">
      <w:r>
        <w:t xml:space="preserve">The </w:t>
      </w:r>
      <w:r w:rsidR="00BA021F">
        <w:t xml:space="preserve">profile section </w:t>
      </w:r>
      <w:r>
        <w:t xml:space="preserve">includes </w:t>
      </w:r>
      <w:r w:rsidR="00BA021F">
        <w:t>the past and present institutional affiliations of the profiled researchers</w:t>
      </w:r>
      <w:r w:rsidR="006A1235">
        <w:t>, and a</w:t>
      </w:r>
      <w:r w:rsidR="00556704">
        <w:t xml:space="preserve">s shown in </w:t>
      </w:r>
      <w:r w:rsidR="00556704" w:rsidRPr="00556704">
        <w:rPr>
          <w:u w:val="single"/>
        </w:rPr>
        <w:t xml:space="preserve">Figure </w:t>
      </w:r>
      <w:r>
        <w:rPr>
          <w:u w:val="single"/>
        </w:rPr>
        <w:t>11</w:t>
      </w:r>
      <w:r w:rsidR="00556704">
        <w:t xml:space="preserve">, </w:t>
      </w:r>
      <w:r w:rsidR="00D834E6">
        <w:t xml:space="preserve">profiled researchers are most likely to have been educated at, or to have worked at, a </w:t>
      </w:r>
      <w:r w:rsidR="00001B21">
        <w:t>major</w:t>
      </w:r>
      <w:r w:rsidR="00556704">
        <w:t xml:space="preserve"> universit</w:t>
      </w:r>
      <w:r w:rsidR="00D834E6">
        <w:t>y.</w:t>
      </w:r>
      <w:r w:rsidR="00DA257E">
        <w:t xml:space="preserve"> That said, hospitals are also prominently listed</w:t>
      </w:r>
      <w:r w:rsidR="00C74D19">
        <w:t>, as are some key medical research institutes.</w:t>
      </w:r>
    </w:p>
    <w:p w14:paraId="7C16C9ED" w14:textId="4CDF8404" w:rsidR="00E60452" w:rsidRDefault="00BA021F" w:rsidP="00047195">
      <w:pPr>
        <w:pStyle w:val="FigureTitle"/>
        <w:numPr>
          <w:ilvl w:val="0"/>
          <w:numId w:val="25"/>
        </w:numPr>
      </w:pPr>
      <w:r>
        <w:t>Count of mentions of research institutions within case study profile text</w:t>
      </w:r>
    </w:p>
    <w:p w14:paraId="6A62221F" w14:textId="6F31C1BF" w:rsidR="00F43EBC" w:rsidRDefault="00E60452" w:rsidP="005C376C">
      <w:r>
        <w:rPr>
          <w:noProof/>
        </w:rPr>
        <w:drawing>
          <wp:inline distT="0" distB="0" distL="0" distR="0" wp14:anchorId="4F3FD84E" wp14:editId="127C30CD">
            <wp:extent cx="6167510" cy="3375600"/>
            <wp:effectExtent l="0" t="0" r="5080" b="0"/>
            <wp:docPr id="519763682" name="Picture 1" descr="A bar chart showing the number of mentions of various research institutions in the case studies. The chart shows that the major universities account for the large majority of all institutional m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63682" name="Picture 1" descr="A bar chart showing the number of mentions of various research institutions in the case studies. The chart shows that the major universities account for the large majority of all institutional mentio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73999" cy="3379152"/>
                    </a:xfrm>
                    <a:prstGeom prst="rect">
                      <a:avLst/>
                    </a:prstGeom>
                    <a:noFill/>
                  </pic:spPr>
                </pic:pic>
              </a:graphicData>
            </a:graphic>
          </wp:inline>
        </w:drawing>
      </w:r>
    </w:p>
    <w:p w14:paraId="3CCD7F79" w14:textId="77777777" w:rsidR="008C540D" w:rsidRDefault="008C540D" w:rsidP="008C540D">
      <w:pPr>
        <w:pStyle w:val="Boxed1Heading"/>
      </w:pPr>
      <w:r>
        <w:lastRenderedPageBreak/>
        <w:t>Findings</w:t>
      </w:r>
    </w:p>
    <w:p w14:paraId="32A012CF" w14:textId="57697FF0" w:rsidR="008C540D" w:rsidRDefault="008C540D" w:rsidP="008C540D">
      <w:pPr>
        <w:pStyle w:val="Boxed1Text"/>
      </w:pPr>
      <w:r>
        <w:t>• The case studies cover a broad range of topics across a broad range of time periods</w:t>
      </w:r>
      <w:r w:rsidR="00BF3B1A">
        <w:t>.</w:t>
      </w:r>
    </w:p>
    <w:p w14:paraId="4E3137E8" w14:textId="5D2EF9D8" w:rsidR="0057433C" w:rsidRDefault="008C540D" w:rsidP="008C540D">
      <w:pPr>
        <w:pStyle w:val="Boxed1Text"/>
      </w:pPr>
      <w:r>
        <w:t xml:space="preserve">• </w:t>
      </w:r>
      <w:r w:rsidR="0057433C">
        <w:t xml:space="preserve">Gender equality has been </w:t>
      </w:r>
      <w:r w:rsidR="00CD50D6">
        <w:t xml:space="preserve">achieved </w:t>
      </w:r>
      <w:r w:rsidR="0057433C">
        <w:t xml:space="preserve">among profiled researchers in </w:t>
      </w:r>
      <w:r w:rsidR="008A7B5D">
        <w:t xml:space="preserve">recent </w:t>
      </w:r>
      <w:r w:rsidR="0057433C">
        <w:t>case studies.</w:t>
      </w:r>
    </w:p>
    <w:p w14:paraId="5E641E1D" w14:textId="77777777" w:rsidR="00D0772D" w:rsidRPr="00B0306D" w:rsidRDefault="00D0772D" w:rsidP="00D0772D">
      <w:pPr>
        <w:pStyle w:val="Heading2noline"/>
      </w:pPr>
      <w:bookmarkStart w:id="4" w:name="_Toc228953735"/>
      <w:r>
        <w:t>Case study promotion</w:t>
      </w:r>
      <w:bookmarkEnd w:id="4"/>
    </w:p>
    <w:p w14:paraId="4EF7735E" w14:textId="6F2F0DAB" w:rsidR="00AF59F5" w:rsidRDefault="00D0772D" w:rsidP="00AF59F5">
      <w:r>
        <w:t>Once they</w:t>
      </w:r>
      <w:r w:rsidR="008A7B5D">
        <w:t xml:space="preserve"> have been </w:t>
      </w:r>
      <w:r>
        <w:t>published</w:t>
      </w:r>
      <w:r w:rsidR="0010669A">
        <w:t>,</w:t>
      </w:r>
      <w:r>
        <w:t xml:space="preserve"> case studies are then promoted </w:t>
      </w:r>
      <w:r w:rsidR="008816B6">
        <w:t xml:space="preserve">by NHMRC’s media team. Key forms of promotion include </w:t>
      </w:r>
      <w:r w:rsidR="008B3D1A">
        <w:t xml:space="preserve">items within </w:t>
      </w:r>
      <w:hyperlink r:id="rId22" w:history="1">
        <w:r w:rsidR="008B3D1A" w:rsidRPr="00AF59F5">
          <w:rPr>
            <w:rStyle w:val="Hyperlink"/>
          </w:rPr>
          <w:t>NHMRC Tracker</w:t>
        </w:r>
      </w:hyperlink>
      <w:r w:rsidR="008B3D1A">
        <w:t xml:space="preserve"> and tweets</w:t>
      </w:r>
      <w:r w:rsidR="00AF59F5">
        <w:t xml:space="preserve"> - short messages posted by NHMRC’s media team on the social media platform Twitter/X. </w:t>
      </w:r>
    </w:p>
    <w:p w14:paraId="41E4203E" w14:textId="611B11D7" w:rsidR="00D0772D" w:rsidRDefault="00D0772D" w:rsidP="00D0772D">
      <w:r>
        <w:t>This section provides analys</w:t>
      </w:r>
      <w:r w:rsidR="00574DB5">
        <w:t>es</w:t>
      </w:r>
      <w:r>
        <w:t xml:space="preserve"> </w:t>
      </w:r>
      <w:r w:rsidR="00574DB5">
        <w:t xml:space="preserve">related to </w:t>
      </w:r>
      <w:r w:rsidR="00856E6C">
        <w:t xml:space="preserve">NHMRC’s case-study and other </w:t>
      </w:r>
      <w:r>
        <w:t xml:space="preserve">Twitter/X </w:t>
      </w:r>
      <w:r w:rsidR="00574DB5">
        <w:t xml:space="preserve">postings </w:t>
      </w:r>
      <w:r>
        <w:t>during the calendar years 2018-2025.</w:t>
      </w:r>
    </w:p>
    <w:p w14:paraId="51D7C829" w14:textId="36CDF481" w:rsidR="00D0772D" w:rsidRDefault="00D0772D" w:rsidP="00D0772D">
      <w:r>
        <w:t xml:space="preserve">During the calendar years 2018-2025, NHMRC posted over 2,100 tweets, or over 270 per year or about 5 per week. These tweets may be grouped into different categories, as shown in </w:t>
      </w:r>
      <w:r w:rsidRPr="00D02CE8">
        <w:rPr>
          <w:u w:val="single"/>
        </w:rPr>
        <w:t>Figure 1</w:t>
      </w:r>
      <w:r w:rsidR="0097320B">
        <w:rPr>
          <w:u w:val="single"/>
        </w:rPr>
        <w:t>2</w:t>
      </w:r>
      <w:r>
        <w:t xml:space="preserve">. </w:t>
      </w:r>
    </w:p>
    <w:p w14:paraId="5E26ABAD" w14:textId="77777777" w:rsidR="00D0772D" w:rsidRDefault="00D0772D" w:rsidP="00D0772D">
      <w:r>
        <w:t xml:space="preserve">The majority of tweets (about 60%) are concerned with providing news about NHMRC corporate activities (e.g. News, Tracker, grant announcements) while the remainder provide information about the successes and activities of researchers (e.g. InFocus articles, Awards, Speaking of Science, case studies and 10 of the Best). </w:t>
      </w:r>
    </w:p>
    <w:p w14:paraId="0C950370" w14:textId="7291A8A2" w:rsidR="00D0772D" w:rsidRDefault="00D0772D" w:rsidP="00D0772D">
      <w:pPr>
        <w:pStyle w:val="FigureTitle"/>
        <w:numPr>
          <w:ilvl w:val="0"/>
          <w:numId w:val="25"/>
        </w:numPr>
      </w:pPr>
      <w:r>
        <w:t xml:space="preserve">Tweets per year by tweet </w:t>
      </w:r>
      <w:r w:rsidR="0025083F">
        <w:t xml:space="preserve">content </w:t>
      </w:r>
      <w:r>
        <w:t>type</w:t>
      </w:r>
    </w:p>
    <w:p w14:paraId="4D8866FD" w14:textId="58F8290E" w:rsidR="008512DC" w:rsidRDefault="008512DC" w:rsidP="00D0772D">
      <w:r>
        <w:rPr>
          <w:noProof/>
        </w:rPr>
        <w:drawing>
          <wp:inline distT="0" distB="0" distL="0" distR="0" wp14:anchorId="0D43901C" wp14:editId="76453DC4">
            <wp:extent cx="5803900" cy="3767455"/>
            <wp:effectExtent l="0" t="0" r="6350" b="4445"/>
            <wp:docPr id="792538525" name="Picture 2" descr="A bar chart showing the number of engagements per tweet by tweet content type. The chart shows that grant announcements account for the large majority of all audience engagement activities per tw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38525" name="Picture 2" descr="A bar chart showing the number of engagements per tweet by tweet content type. The chart shows that grant announcements account for the large majority of all audience engagement activities per twee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03900" cy="3767455"/>
                    </a:xfrm>
                    <a:prstGeom prst="rect">
                      <a:avLst/>
                    </a:prstGeom>
                    <a:noFill/>
                  </pic:spPr>
                </pic:pic>
              </a:graphicData>
            </a:graphic>
          </wp:inline>
        </w:drawing>
      </w:r>
    </w:p>
    <w:p w14:paraId="75D20AA7" w14:textId="77777777" w:rsidR="00D0772D" w:rsidRDefault="00D0772D" w:rsidP="00D0772D">
      <w:pPr>
        <w:pStyle w:val="Heading5"/>
      </w:pPr>
      <w:r>
        <w:lastRenderedPageBreak/>
        <w:t>Tweets engagement by tweet type</w:t>
      </w:r>
    </w:p>
    <w:p w14:paraId="15EF988A" w14:textId="5C20A519" w:rsidR="00D0772D" w:rsidRDefault="00D0772D" w:rsidP="00D0772D">
      <w:r>
        <w:t xml:space="preserve">Some NHMRC tweet types receive much more engagement than do others. As shown in </w:t>
      </w:r>
      <w:r w:rsidRPr="005A02C3">
        <w:rPr>
          <w:u w:val="single"/>
        </w:rPr>
        <w:t>Figure 1</w:t>
      </w:r>
      <w:r w:rsidR="0097320B">
        <w:rPr>
          <w:u w:val="single"/>
        </w:rPr>
        <w:t>3</w:t>
      </w:r>
      <w:r>
        <w:t xml:space="preserve">, grant announcements receive about an order of magnitude more engagement than most other tweet types, with </w:t>
      </w:r>
      <w:r w:rsidRPr="00FE69FD">
        <w:rPr>
          <w:i/>
          <w:iCs/>
        </w:rPr>
        <w:t>10 of the Best</w:t>
      </w:r>
      <w:r>
        <w:t xml:space="preserve"> coming second. </w:t>
      </w:r>
    </w:p>
    <w:p w14:paraId="23BBA0F4" w14:textId="63453435" w:rsidR="00D0772D" w:rsidRDefault="00D0772D" w:rsidP="00D0772D">
      <w:pPr>
        <w:pStyle w:val="FigureTitle"/>
        <w:numPr>
          <w:ilvl w:val="0"/>
          <w:numId w:val="25"/>
        </w:numPr>
      </w:pPr>
      <w:r>
        <w:t xml:space="preserve">Engagements per tweet by tweet </w:t>
      </w:r>
      <w:r w:rsidR="0025083F">
        <w:t xml:space="preserve">content </w:t>
      </w:r>
      <w:r>
        <w:t>type</w:t>
      </w:r>
    </w:p>
    <w:p w14:paraId="4B4BDC8A" w14:textId="1BA279E0" w:rsidR="009947FB" w:rsidRDefault="009947FB" w:rsidP="00D0772D">
      <w:r>
        <w:rPr>
          <w:noProof/>
        </w:rPr>
        <w:drawing>
          <wp:inline distT="0" distB="0" distL="0" distR="0" wp14:anchorId="4D5B8ABD" wp14:editId="07D1973C">
            <wp:extent cx="6169127" cy="3262895"/>
            <wp:effectExtent l="0" t="0" r="3175" b="0"/>
            <wp:docPr id="2003190578" name="Picture 1" descr="A bar chart showing the number of engagements per tweet by tweet content type. The chart shows that grant announcements account for the large majority of all audience engagement activities per tw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90578" name="Picture 1" descr="A bar chart showing the number of engagements per tweet by tweet content type. The chart shows that grant announcements account for the large majority of all audience engagement activities per twe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4302" cy="3276210"/>
                    </a:xfrm>
                    <a:prstGeom prst="rect">
                      <a:avLst/>
                    </a:prstGeom>
                    <a:noFill/>
                  </pic:spPr>
                </pic:pic>
              </a:graphicData>
            </a:graphic>
          </wp:inline>
        </w:drawing>
      </w:r>
    </w:p>
    <w:p w14:paraId="42E0DDA5" w14:textId="33E0936D" w:rsidR="00D0772D" w:rsidRDefault="00D0772D" w:rsidP="00D0772D">
      <w:r>
        <w:t xml:space="preserve">The chart above suggests that key users of NHMRC tweets are likely to be Australian health and medical researchers and research organisations, who compete for NHMRC grants and who are therefore particularly interested in grant announcements. </w:t>
      </w:r>
    </w:p>
    <w:p w14:paraId="47A3CF98" w14:textId="77777777" w:rsidR="00D0772D" w:rsidRDefault="00D0772D" w:rsidP="00D0772D">
      <w:pPr>
        <w:pStyle w:val="Heading5"/>
      </w:pPr>
      <w:r>
        <w:t>Case study tweets versus other types of tweets</w:t>
      </w:r>
    </w:p>
    <w:p w14:paraId="725FCD16" w14:textId="77777777" w:rsidR="00D0772D" w:rsidRDefault="00D0772D" w:rsidP="00D0772D">
      <w:r>
        <w:t xml:space="preserve">There are two obvious ways in which case study tweet content currently differs from other tweet content. </w:t>
      </w:r>
    </w:p>
    <w:p w14:paraId="604BC126" w14:textId="65DC4ECF" w:rsidR="00D0772D" w:rsidRDefault="00D0772D" w:rsidP="00D0772D">
      <w:r>
        <w:t xml:space="preserve">First, as shown in </w:t>
      </w:r>
      <w:r w:rsidRPr="009429B4">
        <w:rPr>
          <w:u w:val="single"/>
        </w:rPr>
        <w:t>Figure 1</w:t>
      </w:r>
      <w:r w:rsidR="0097320B">
        <w:rPr>
          <w:u w:val="single"/>
        </w:rPr>
        <w:t>4</w:t>
      </w:r>
      <w:r>
        <w:t xml:space="preserve">, case study tweets </w:t>
      </w:r>
      <w:r w:rsidR="0067596C">
        <w:t xml:space="preserve">have tended to </w:t>
      </w:r>
      <w:r>
        <w:t xml:space="preserve">contain fewer links (e.g. http), hashtags and @mentions than </w:t>
      </w:r>
      <w:r w:rsidR="0067596C">
        <w:t>have</w:t>
      </w:r>
      <w:r>
        <w:t xml:space="preserve"> other tweet types. Since such links provide an opportunity for users to engage, the relative absence of such content tends to reduce possible audience engagement.</w:t>
      </w:r>
    </w:p>
    <w:p w14:paraId="553DA7E5" w14:textId="719FCD52" w:rsidR="00D0772D" w:rsidRDefault="00D0772D" w:rsidP="00D0772D">
      <w:r>
        <w:t xml:space="preserve">A second difference relates to the relative human-centricity of the language contained in the tweet. As shown in </w:t>
      </w:r>
      <w:r w:rsidRPr="00D81E2D">
        <w:rPr>
          <w:u w:val="single"/>
        </w:rPr>
        <w:t>Figure 1</w:t>
      </w:r>
      <w:r w:rsidR="0097320B">
        <w:rPr>
          <w:u w:val="single"/>
        </w:rPr>
        <w:t>5</w:t>
      </w:r>
      <w:r>
        <w:t xml:space="preserve">, the language found in </w:t>
      </w:r>
      <w:r w:rsidRPr="007D096F">
        <w:rPr>
          <w:i/>
          <w:iCs/>
        </w:rPr>
        <w:t>10 of the Best</w:t>
      </w:r>
      <w:r>
        <w:t xml:space="preserve"> tweets tends to be much more human-centric than the language found in case study tweets. </w:t>
      </w:r>
    </w:p>
    <w:p w14:paraId="395ED4E8" w14:textId="6CA51D34" w:rsidR="00D0772D" w:rsidRDefault="00D0772D" w:rsidP="00D0772D">
      <w:r>
        <w:t xml:space="preserve">Human-centric language includes names of researchers, names of health population groups, direct quotes from researchers and emotive terms. Emotive terms found in the 10 of the Best tweets include: </w:t>
      </w:r>
      <w:r w:rsidR="0067596C">
        <w:t>‘</w:t>
      </w:r>
      <w:r>
        <w:t>We couldn’t wait</w:t>
      </w:r>
      <w:r w:rsidR="0067596C">
        <w:t>’</w:t>
      </w:r>
      <w:r>
        <w:t xml:space="preserve">, </w:t>
      </w:r>
      <w:r w:rsidR="0067596C">
        <w:t>‘</w:t>
      </w:r>
      <w:r>
        <w:t>NHMRC is proud</w:t>
      </w:r>
      <w:r w:rsidR="0067596C">
        <w:t>’</w:t>
      </w:r>
      <w:r>
        <w:t xml:space="preserve">, </w:t>
      </w:r>
      <w:r w:rsidR="0067596C">
        <w:t>‘</w:t>
      </w:r>
      <w:r>
        <w:t>a tribute to the researchers</w:t>
      </w:r>
      <w:r w:rsidR="0067596C">
        <w:t>’</w:t>
      </w:r>
      <w:r>
        <w:t xml:space="preserve">, </w:t>
      </w:r>
      <w:r w:rsidR="0067596C">
        <w:t>‘</w:t>
      </w:r>
      <w:r>
        <w:t>research success story</w:t>
      </w:r>
      <w:r w:rsidR="0067596C">
        <w:t>’</w:t>
      </w:r>
      <w:r>
        <w:t xml:space="preserve">, </w:t>
      </w:r>
      <w:r w:rsidR="0067596C">
        <w:t>‘</w:t>
      </w:r>
      <w:r>
        <w:t>enhancing the future</w:t>
      </w:r>
      <w:r w:rsidR="0067596C">
        <w:t>’</w:t>
      </w:r>
      <w:r>
        <w:t xml:space="preserve">, </w:t>
      </w:r>
      <w:r w:rsidR="0067596C">
        <w:t>‘</w:t>
      </w:r>
      <w:r>
        <w:t>celebrating the launch</w:t>
      </w:r>
      <w:r w:rsidR="0067596C">
        <w:t>’</w:t>
      </w:r>
      <w:r>
        <w:t xml:space="preserve">, </w:t>
      </w:r>
      <w:r w:rsidR="0067596C">
        <w:t>‘</w:t>
      </w:r>
      <w:r>
        <w:t>extraordinary stories</w:t>
      </w:r>
      <w:r w:rsidR="0067596C">
        <w:t>’</w:t>
      </w:r>
      <w:r>
        <w:t xml:space="preserve">, </w:t>
      </w:r>
      <w:r w:rsidR="0067596C">
        <w:t>‘</w:t>
      </w:r>
      <w:r>
        <w:t>fascinating research</w:t>
      </w:r>
      <w:r w:rsidR="0067596C">
        <w:t>’</w:t>
      </w:r>
      <w:r>
        <w:t xml:space="preserve">, </w:t>
      </w:r>
      <w:r w:rsidR="0067596C">
        <w:t>‘</w:t>
      </w:r>
      <w:r>
        <w:t>a legacy of safe maternity care</w:t>
      </w:r>
      <w:r w:rsidR="0067596C">
        <w:t>’</w:t>
      </w:r>
      <w:r>
        <w:t xml:space="preserve">, </w:t>
      </w:r>
      <w:r w:rsidR="0067596C">
        <w:t>‘</w:t>
      </w:r>
      <w:r>
        <w:t>on a quest</w:t>
      </w:r>
      <w:r w:rsidR="0067596C">
        <w:t>’</w:t>
      </w:r>
      <w:r>
        <w:t xml:space="preserve">, </w:t>
      </w:r>
      <w:r w:rsidR="0067596C">
        <w:t>‘</w:t>
      </w:r>
      <w:r>
        <w:t>the impacts of trauma</w:t>
      </w:r>
      <w:r w:rsidR="0067596C">
        <w:t>’</w:t>
      </w:r>
      <w:r>
        <w:t xml:space="preserve">. </w:t>
      </w:r>
    </w:p>
    <w:p w14:paraId="061AA486" w14:textId="045BD6C5" w:rsidR="00D0772D" w:rsidRDefault="00D0772D" w:rsidP="00D0772D">
      <w:r>
        <w:lastRenderedPageBreak/>
        <w:t>By contrast, case study tweets tend to include more business language</w:t>
      </w:r>
      <w:r w:rsidR="00A03312">
        <w:t xml:space="preserve">, including </w:t>
      </w:r>
      <w:r>
        <w:t xml:space="preserve">terms </w:t>
      </w:r>
      <w:r w:rsidR="00A03312">
        <w:t>such as</w:t>
      </w:r>
      <w:r>
        <w:t xml:space="preserve">: </w:t>
      </w:r>
      <w:r w:rsidR="0067596C">
        <w:t>‘</w:t>
      </w:r>
      <w:r>
        <w:t>NHMRC</w:t>
      </w:r>
      <w:r w:rsidRPr="002604B5">
        <w:t>-funded</w:t>
      </w:r>
      <w:r w:rsidR="0067596C">
        <w:t>’</w:t>
      </w:r>
      <w:r w:rsidRPr="002604B5">
        <w:t>,</w:t>
      </w:r>
      <w:r>
        <w:t xml:space="preserve"> </w:t>
      </w:r>
      <w:r w:rsidR="0067596C">
        <w:t>‘</w:t>
      </w:r>
      <w:r w:rsidRPr="002604B5">
        <w:t>case study</w:t>
      </w:r>
      <w:r w:rsidR="0067596C">
        <w:t>’</w:t>
      </w:r>
      <w:r w:rsidRPr="002604B5">
        <w:t>,</w:t>
      </w:r>
      <w:r>
        <w:t xml:space="preserve"> </w:t>
      </w:r>
      <w:r w:rsidR="0067596C">
        <w:t>‘</w:t>
      </w:r>
      <w:r w:rsidRPr="002604B5">
        <w:t>publication</w:t>
      </w:r>
      <w:r w:rsidR="0067596C">
        <w:t>’</w:t>
      </w:r>
      <w:r w:rsidRPr="002604B5">
        <w:t>,</w:t>
      </w:r>
      <w:r>
        <w:t xml:space="preserve"> </w:t>
      </w:r>
      <w:r w:rsidR="0067596C">
        <w:t>‘</w:t>
      </w:r>
      <w:r w:rsidRPr="002604B5">
        <w:t>edition</w:t>
      </w:r>
      <w:r w:rsidR="0067596C">
        <w:t>’</w:t>
      </w:r>
      <w:r w:rsidRPr="002604B5">
        <w:t>,</w:t>
      </w:r>
      <w:r>
        <w:t xml:space="preserve"> </w:t>
      </w:r>
      <w:r w:rsidR="0067596C">
        <w:t>‘</w:t>
      </w:r>
      <w:r w:rsidRPr="002604B5">
        <w:t>flagship</w:t>
      </w:r>
      <w:r w:rsidR="0067596C">
        <w:t>’</w:t>
      </w:r>
      <w:r w:rsidRPr="002604B5">
        <w:t>,</w:t>
      </w:r>
      <w:r>
        <w:t xml:space="preserve"> </w:t>
      </w:r>
      <w:r w:rsidR="0067596C">
        <w:t>‘</w:t>
      </w:r>
      <w:r w:rsidRPr="002604B5">
        <w:t>guidelines</w:t>
      </w:r>
      <w:r w:rsidR="0067596C">
        <w:t>’</w:t>
      </w:r>
      <w:r w:rsidRPr="002604B5">
        <w:t>,</w:t>
      </w:r>
      <w:r>
        <w:t xml:space="preserve"> </w:t>
      </w:r>
      <w:r w:rsidR="0067596C">
        <w:t>‘</w:t>
      </w:r>
      <w:r w:rsidRPr="002604B5">
        <w:t>consortium</w:t>
      </w:r>
      <w:r w:rsidR="0067596C">
        <w:t>’</w:t>
      </w:r>
      <w:r w:rsidRPr="002604B5">
        <w:t>,</w:t>
      </w:r>
      <w:r>
        <w:t xml:space="preserve"> </w:t>
      </w:r>
      <w:r w:rsidR="0067596C">
        <w:t>‘</w:t>
      </w:r>
      <w:r w:rsidRPr="002604B5">
        <w:t>grant</w:t>
      </w:r>
      <w:r w:rsidR="0067596C">
        <w:t>’</w:t>
      </w:r>
      <w:r w:rsidRPr="002604B5">
        <w:t>,</w:t>
      </w:r>
      <w:r>
        <w:t xml:space="preserve"> </w:t>
      </w:r>
      <w:r w:rsidR="0067596C">
        <w:t>‘</w:t>
      </w:r>
      <w:r w:rsidRPr="002604B5">
        <w:t>project</w:t>
      </w:r>
      <w:r w:rsidR="0067596C">
        <w:t>’</w:t>
      </w:r>
      <w:r w:rsidRPr="002604B5">
        <w:t>,</w:t>
      </w:r>
      <w:r>
        <w:t xml:space="preserve"> </w:t>
      </w:r>
      <w:r w:rsidR="0067596C">
        <w:t>‘</w:t>
      </w:r>
      <w:r w:rsidRPr="002604B5">
        <w:t>program</w:t>
      </w:r>
      <w:r w:rsidR="0067596C">
        <w:t>’</w:t>
      </w:r>
      <w:r w:rsidRPr="002604B5">
        <w:t>,</w:t>
      </w:r>
      <w:r>
        <w:t xml:space="preserve"> </w:t>
      </w:r>
      <w:r w:rsidR="0067596C">
        <w:t>‘</w:t>
      </w:r>
      <w:r w:rsidRPr="002604B5">
        <w:t>register</w:t>
      </w:r>
      <w:r w:rsidR="0067596C">
        <w:t>’</w:t>
      </w:r>
      <w:r w:rsidRPr="002604B5">
        <w:t>,</w:t>
      </w:r>
      <w:r>
        <w:t xml:space="preserve"> </w:t>
      </w:r>
      <w:r w:rsidR="0067596C">
        <w:t>‘</w:t>
      </w:r>
      <w:r w:rsidRPr="002604B5">
        <w:t>policy</w:t>
      </w:r>
      <w:r w:rsidR="0067596C">
        <w:t>’</w:t>
      </w:r>
      <w:r w:rsidRPr="002604B5">
        <w:t>,</w:t>
      </w:r>
      <w:r>
        <w:t xml:space="preserve"> </w:t>
      </w:r>
      <w:r w:rsidR="0067596C">
        <w:t>‘</w:t>
      </w:r>
      <w:r w:rsidRPr="002604B5">
        <w:t>practice</w:t>
      </w:r>
      <w:r w:rsidR="0067596C">
        <w:t>’</w:t>
      </w:r>
      <w:r>
        <w:t xml:space="preserve"> and </w:t>
      </w:r>
      <w:r w:rsidR="0067596C">
        <w:t>‘</w:t>
      </w:r>
      <w:r w:rsidRPr="002604B5">
        <w:t>media release</w:t>
      </w:r>
      <w:r w:rsidR="0067596C">
        <w:t>’</w:t>
      </w:r>
      <w:r>
        <w:t>.</w:t>
      </w:r>
    </w:p>
    <w:p w14:paraId="47264CCC" w14:textId="70D53BBC" w:rsidR="00D0772D" w:rsidRDefault="00D0772D" w:rsidP="00D0772D">
      <w:pPr>
        <w:pStyle w:val="FigureTitle"/>
        <w:numPr>
          <w:ilvl w:val="0"/>
          <w:numId w:val="25"/>
        </w:numPr>
      </w:pPr>
      <w:r>
        <w:t xml:space="preserve">Presence of text type by tweet </w:t>
      </w:r>
      <w:r w:rsidR="00D530C0">
        <w:t xml:space="preserve">content </w:t>
      </w:r>
      <w:r>
        <w:t>type</w:t>
      </w:r>
    </w:p>
    <w:p w14:paraId="28BC9639" w14:textId="68814FB2" w:rsidR="00D0772D" w:rsidRDefault="00817862" w:rsidP="00D0772D">
      <w:r>
        <w:rPr>
          <w:noProof/>
        </w:rPr>
        <w:drawing>
          <wp:inline distT="0" distB="0" distL="0" distR="0" wp14:anchorId="24CD3394" wp14:editId="680342E4">
            <wp:extent cx="5825506" cy="3695977"/>
            <wp:effectExtent l="0" t="0" r="3810" b="0"/>
            <wp:docPr id="1180172474" name="Picture 1" descr="A bar chart showing the presence of hashtags or @ symbols by tweet content type. The chart shows that there is a linear decrease in the presence of links and #/@ symbols in the tweet text, with InFocus articles having the most and Impact Case Studies having the least, and the other categories fitting between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72474" name="Picture 1" descr="A bar chart showing the presence of hashtags or @ symbols by tweet content type. The chart shows that there is a linear decrease in the presence of links and #/@ symbols in the tweet text, with InFocus articles having the most and Impact Case Studies having the least, and the other categories fitting between them.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4622" cy="3701760"/>
                    </a:xfrm>
                    <a:prstGeom prst="rect">
                      <a:avLst/>
                    </a:prstGeom>
                    <a:noFill/>
                  </pic:spPr>
                </pic:pic>
              </a:graphicData>
            </a:graphic>
          </wp:inline>
        </w:drawing>
      </w:r>
    </w:p>
    <w:p w14:paraId="4071A4B2" w14:textId="77777777" w:rsidR="00D0772D" w:rsidRDefault="00D0772D" w:rsidP="00D0772D">
      <w:pPr>
        <w:pStyle w:val="FigureTitle"/>
        <w:numPr>
          <w:ilvl w:val="0"/>
          <w:numId w:val="25"/>
        </w:numPr>
      </w:pPr>
      <w:r>
        <w:t>Proportional presence of human-centric or business language by tweet type</w:t>
      </w:r>
    </w:p>
    <w:p w14:paraId="62C80ED0" w14:textId="77777777" w:rsidR="00D0772D" w:rsidRDefault="00D0772D" w:rsidP="00D0772D">
      <w:r>
        <w:rPr>
          <w:noProof/>
        </w:rPr>
        <w:drawing>
          <wp:inline distT="0" distB="0" distL="0" distR="0" wp14:anchorId="4EC132E0" wp14:editId="21E6FF0E">
            <wp:extent cx="5118008" cy="2968829"/>
            <wp:effectExtent l="0" t="0" r="6985" b="3175"/>
            <wp:docPr id="1379692953" name="Picture 13" descr="A bar chart showing the proportional presence of human-centric or business language by tweet type. The chart shows that 10 of the Best tweets include about 80% human centric language while the case studies include about 70% business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692953" name="Picture 13" descr="A bar chart showing the proportional presence of human-centric or business language by tweet type. The chart shows that 10 of the Best tweets include about 80% human centric language while the case studies include about 70% business langu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20913" cy="2970514"/>
                    </a:xfrm>
                    <a:prstGeom prst="rect">
                      <a:avLst/>
                    </a:prstGeom>
                    <a:noFill/>
                  </pic:spPr>
                </pic:pic>
              </a:graphicData>
            </a:graphic>
          </wp:inline>
        </w:drawing>
      </w:r>
    </w:p>
    <w:p w14:paraId="21CBC8F8" w14:textId="77777777" w:rsidR="00A03312" w:rsidRDefault="00A03312" w:rsidP="00D0772D"/>
    <w:p w14:paraId="18206FEF" w14:textId="77777777" w:rsidR="008B3D1A" w:rsidRDefault="008B3D1A" w:rsidP="008B3D1A">
      <w:pPr>
        <w:pStyle w:val="Boxed1Heading"/>
      </w:pPr>
      <w:r>
        <w:lastRenderedPageBreak/>
        <w:t>Findings</w:t>
      </w:r>
    </w:p>
    <w:p w14:paraId="59323C95" w14:textId="6F0346A7" w:rsidR="008B3D1A" w:rsidRDefault="008B3D1A" w:rsidP="008B3D1A">
      <w:pPr>
        <w:pStyle w:val="Boxed1Text"/>
        <w:ind w:left="426" w:hanging="142"/>
      </w:pPr>
      <w:r>
        <w:t xml:space="preserve">• </w:t>
      </w:r>
      <w:r w:rsidR="00E914BB">
        <w:t>U</w:t>
      </w:r>
      <w:r>
        <w:t>ser engagement with case study tweets is of a similar level to engagement with most other types of tweets</w:t>
      </w:r>
      <w:r w:rsidR="00E914BB">
        <w:t xml:space="preserve"> besides grant announcements and 10 of </w:t>
      </w:r>
      <w:r>
        <w:t xml:space="preserve">the </w:t>
      </w:r>
      <w:r w:rsidR="00E914BB">
        <w:t>Best.</w:t>
      </w:r>
    </w:p>
    <w:p w14:paraId="774B07D4" w14:textId="2BAEDCDB" w:rsidR="008B3D1A" w:rsidRDefault="008B3D1A" w:rsidP="008B3D1A">
      <w:pPr>
        <w:pStyle w:val="Boxed1Text"/>
        <w:ind w:left="426" w:hanging="142"/>
      </w:pPr>
      <w:r>
        <w:t>• Amending the text of future case study tweets</w:t>
      </w:r>
      <w:r w:rsidR="00221531">
        <w:t xml:space="preserve"> to increase their </w:t>
      </w:r>
      <w:r>
        <w:t>emotivity and human-centric content</w:t>
      </w:r>
      <w:r w:rsidR="00221531">
        <w:t xml:space="preserve"> and to </w:t>
      </w:r>
      <w:r>
        <w:t>include more links may increase the level of user engagement.</w:t>
      </w:r>
    </w:p>
    <w:p w14:paraId="7350B666" w14:textId="31D7B08E" w:rsidR="00112A83" w:rsidRPr="00B0306D" w:rsidRDefault="00FA76A4" w:rsidP="00112A83">
      <w:pPr>
        <w:pStyle w:val="Heading2noline"/>
      </w:pPr>
      <w:bookmarkStart w:id="5" w:name="_Toc228953736"/>
      <w:r>
        <w:t>Case study use</w:t>
      </w:r>
      <w:bookmarkEnd w:id="5"/>
    </w:p>
    <w:p w14:paraId="7A726934" w14:textId="4E2EF460" w:rsidR="00112A83" w:rsidRDefault="00112A83" w:rsidP="00112A83">
      <w:r>
        <w:t>This section provides an analysis of available web-metrics relating to the usage patterns of the published case studies. The data used for this analysis covers the period 18 April 2023 to 17 November 2025, being the total data available at the time when this component of the analysis was conducted.</w:t>
      </w:r>
    </w:p>
    <w:p w14:paraId="0D6FAB60" w14:textId="463ADE44" w:rsidR="003A2E5E" w:rsidRDefault="00CB1A8C" w:rsidP="003A2E5E">
      <w:pPr>
        <w:pStyle w:val="Heading5"/>
      </w:pPr>
      <w:r>
        <w:t>Pageview comparison with other NHMRC publications</w:t>
      </w:r>
    </w:p>
    <w:p w14:paraId="766EC344" w14:textId="217262D4" w:rsidR="00112A83" w:rsidRDefault="00112A83" w:rsidP="00112A83">
      <w:r>
        <w:t xml:space="preserve">As shown in </w:t>
      </w:r>
      <w:r w:rsidRPr="00FB2CA5">
        <w:rPr>
          <w:u w:val="single"/>
        </w:rPr>
        <w:t xml:space="preserve">Figure </w:t>
      </w:r>
      <w:r w:rsidR="00B21290">
        <w:rPr>
          <w:u w:val="single"/>
        </w:rPr>
        <w:t>16</w:t>
      </w:r>
      <w:r>
        <w:t xml:space="preserve">, </w:t>
      </w:r>
      <w:r w:rsidR="00A42F82">
        <w:t xml:space="preserve">individual </w:t>
      </w:r>
      <w:r>
        <w:t xml:space="preserve">case studies </w:t>
      </w:r>
      <w:r w:rsidR="001345BD">
        <w:t xml:space="preserve">receive about the same number of </w:t>
      </w:r>
      <w:r w:rsidR="000A7010">
        <w:t>page</w:t>
      </w:r>
      <w:r w:rsidR="001345BD">
        <w:t>views</w:t>
      </w:r>
      <w:r w:rsidR="007F3A36">
        <w:t xml:space="preserve"> and </w:t>
      </w:r>
      <w:r w:rsidR="001345BD">
        <w:t xml:space="preserve">users </w:t>
      </w:r>
      <w:r w:rsidR="000A7010">
        <w:t xml:space="preserve">as do </w:t>
      </w:r>
      <w:r>
        <w:t xml:space="preserve">the </w:t>
      </w:r>
      <w:r w:rsidR="000A7010">
        <w:t xml:space="preserve">NHMRC’s </w:t>
      </w:r>
      <w:r>
        <w:t>Annual Report</w:t>
      </w:r>
      <w:r w:rsidR="000A7010">
        <w:t>s</w:t>
      </w:r>
      <w:r>
        <w:t>, but they receive about 25% fewer views/users than do News Centre articles.</w:t>
      </w:r>
      <w:r>
        <w:rPr>
          <w:rStyle w:val="FootnoteReference"/>
        </w:rPr>
        <w:footnoteReference w:id="4"/>
      </w:r>
    </w:p>
    <w:p w14:paraId="4948569F" w14:textId="77777777" w:rsidR="00112A83" w:rsidRDefault="00112A83" w:rsidP="00112A83">
      <w:pPr>
        <w:pStyle w:val="FigureTitle"/>
        <w:numPr>
          <w:ilvl w:val="0"/>
          <w:numId w:val="25"/>
        </w:numPr>
      </w:pPr>
      <w:r>
        <w:t>Views and active users for three types of webpages</w:t>
      </w:r>
    </w:p>
    <w:p w14:paraId="772FFC88" w14:textId="77777777" w:rsidR="00112A83" w:rsidRDefault="00112A83" w:rsidP="00112A83">
      <w:r>
        <w:rPr>
          <w:noProof/>
        </w:rPr>
        <w:drawing>
          <wp:inline distT="0" distB="0" distL="0" distR="0" wp14:anchorId="2071784B" wp14:editId="03C2484F">
            <wp:extent cx="6034199" cy="3019494"/>
            <wp:effectExtent l="0" t="0" r="5080" b="0"/>
            <wp:docPr id="886935047" name="Picture 1" descr="A bar chart showing the primary access channels for Annual reports, Impact Case Studies and News centre articles. Organic search is the most used channel for annual reports, case studies and news centre articles, accounting for about 75% for case studies and about 50% for the other two webpage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35047" name="Picture 1" descr="A bar chart showing the primary access channels for Annual reports, Impact Case Studies and News centre articles. Organic search is the most used channel for annual reports, case studies and news centre articles, accounting for about 75% for case studies and about 50% for the other two webpage typ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62290" cy="3033551"/>
                    </a:xfrm>
                    <a:prstGeom prst="rect">
                      <a:avLst/>
                    </a:prstGeom>
                    <a:noFill/>
                  </pic:spPr>
                </pic:pic>
              </a:graphicData>
            </a:graphic>
          </wp:inline>
        </w:drawing>
      </w:r>
    </w:p>
    <w:p w14:paraId="29402DFC" w14:textId="4321760D" w:rsidR="009D5F4D" w:rsidRDefault="009D5F4D" w:rsidP="009D5F4D"/>
    <w:p w14:paraId="1E30F1AB" w14:textId="0D7CD20F" w:rsidR="009D5F4D" w:rsidRDefault="00F342B0" w:rsidP="009D5F4D">
      <w:r>
        <w:lastRenderedPageBreak/>
        <w:t>A</w:t>
      </w:r>
      <w:r w:rsidR="009D5F4D">
        <w:t xml:space="preserve">s shown in </w:t>
      </w:r>
      <w:r w:rsidR="009D5F4D" w:rsidRPr="00032707">
        <w:rPr>
          <w:u w:val="single"/>
        </w:rPr>
        <w:t xml:space="preserve">Figure </w:t>
      </w:r>
      <w:r w:rsidR="009D5F4D">
        <w:rPr>
          <w:u w:val="single"/>
        </w:rPr>
        <w:t>17</w:t>
      </w:r>
      <w:r w:rsidR="009D5F4D">
        <w:t>, about one third more users of case studies (as opposed to Annual Reports or News Centre items) found them using a search engine. News Centre items are much more likely than are case studies to be found as a result of a link within social media.</w:t>
      </w:r>
    </w:p>
    <w:p w14:paraId="06F7E765" w14:textId="4EFA7573" w:rsidR="00112A83" w:rsidRDefault="00112A83" w:rsidP="00112A83">
      <w:pPr>
        <w:pStyle w:val="FigureTitle"/>
        <w:numPr>
          <w:ilvl w:val="0"/>
          <w:numId w:val="25"/>
        </w:numPr>
      </w:pPr>
      <w:r>
        <w:t>Primary access channels to three types of webpages</w:t>
      </w:r>
    </w:p>
    <w:p w14:paraId="6F74B613" w14:textId="77777777" w:rsidR="00112A83" w:rsidRDefault="00112A83" w:rsidP="00112A83">
      <w:r>
        <w:rPr>
          <w:noProof/>
        </w:rPr>
        <w:drawing>
          <wp:inline distT="0" distB="0" distL="0" distR="0" wp14:anchorId="4C2079B7" wp14:editId="45B6443B">
            <wp:extent cx="5869955" cy="2937307"/>
            <wp:effectExtent l="0" t="0" r="0" b="0"/>
            <wp:docPr id="1767497648" name="Picture 17" descr="A bar chart showing the primary access channels for Annual reports, Impact Case Studies and News centre 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97648" name="Picture 17" descr="A bar chart showing the primary access channels for Annual reports, Impact Case Studies and News centre articl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80968" cy="2942818"/>
                    </a:xfrm>
                    <a:prstGeom prst="rect">
                      <a:avLst/>
                    </a:prstGeom>
                    <a:noFill/>
                  </pic:spPr>
                </pic:pic>
              </a:graphicData>
            </a:graphic>
          </wp:inline>
        </w:drawing>
      </w:r>
    </w:p>
    <w:p w14:paraId="6AF8EF9F" w14:textId="696DA551" w:rsidR="00CB1A8C" w:rsidRDefault="00CB1A8C" w:rsidP="00CB1A8C">
      <w:pPr>
        <w:pStyle w:val="Heading5"/>
      </w:pPr>
      <w:r>
        <w:t>Viewer location</w:t>
      </w:r>
    </w:p>
    <w:p w14:paraId="407CBEF8" w14:textId="5BE599E3" w:rsidR="00112A83" w:rsidRDefault="00112A83" w:rsidP="00112A83">
      <w:r>
        <w:t xml:space="preserve">As shown in </w:t>
      </w:r>
      <w:r w:rsidRPr="004A4F01">
        <w:rPr>
          <w:u w:val="single"/>
        </w:rPr>
        <w:t xml:space="preserve">Figure </w:t>
      </w:r>
      <w:r w:rsidR="00860D8E">
        <w:rPr>
          <w:u w:val="single"/>
        </w:rPr>
        <w:t>18</w:t>
      </w:r>
      <w:r>
        <w:t>, while most case study users come from Oceania, over one quarter live in other parts of the world.</w:t>
      </w:r>
    </w:p>
    <w:p w14:paraId="0CB6FB40" w14:textId="2F829F4F" w:rsidR="00112A83" w:rsidRDefault="001A43AB" w:rsidP="00112A83">
      <w:pPr>
        <w:pStyle w:val="FigureTitle"/>
        <w:numPr>
          <w:ilvl w:val="0"/>
          <w:numId w:val="25"/>
        </w:numPr>
      </w:pPr>
      <w:r>
        <w:t xml:space="preserve">Case </w:t>
      </w:r>
      <w:r w:rsidR="006F6917">
        <w:t>s</w:t>
      </w:r>
      <w:r>
        <w:t>tudy p</w:t>
      </w:r>
      <w:r w:rsidR="00112A83">
        <w:t>ageviews by global region</w:t>
      </w:r>
    </w:p>
    <w:p w14:paraId="62D180D8" w14:textId="77777777" w:rsidR="00112A83" w:rsidRDefault="00112A83" w:rsidP="00112A83">
      <w:r>
        <w:rPr>
          <w:noProof/>
        </w:rPr>
        <w:drawing>
          <wp:inline distT="0" distB="0" distL="0" distR="0" wp14:anchorId="7BDDE8D5" wp14:editId="63B60553">
            <wp:extent cx="5354831" cy="2853497"/>
            <wp:effectExtent l="0" t="0" r="0" b="0"/>
            <wp:docPr id="808896063" name="Picture 5" descr="A pie chart showing the number of pageviews by global region. The chart shows that over one quarter of case study pageviews come from regions other than Oceania, with North America (9.5%) and Asia (8.2%) being most promin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896063" name="Picture 5" descr="A pie chart showing the number of pageviews by global region. The chart shows that over one quarter of case study pageviews come from regions other than Oceania, with North America (9.5%) and Asia (8.2%) being most prominen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7866" cy="2876430"/>
                    </a:xfrm>
                    <a:prstGeom prst="rect">
                      <a:avLst/>
                    </a:prstGeom>
                    <a:noFill/>
                  </pic:spPr>
                </pic:pic>
              </a:graphicData>
            </a:graphic>
          </wp:inline>
        </w:drawing>
      </w:r>
    </w:p>
    <w:p w14:paraId="1A48B9F5" w14:textId="64484D91" w:rsidR="00112A83" w:rsidRDefault="00112A83" w:rsidP="00112A83">
      <w:r>
        <w:lastRenderedPageBreak/>
        <w:t xml:space="preserve">As shown in </w:t>
      </w:r>
      <w:r w:rsidRPr="004A4F01">
        <w:rPr>
          <w:u w:val="single"/>
        </w:rPr>
        <w:t xml:space="preserve">Figure </w:t>
      </w:r>
      <w:r w:rsidR="00860D8E">
        <w:rPr>
          <w:u w:val="single"/>
        </w:rPr>
        <w:t>19</w:t>
      </w:r>
      <w:r>
        <w:t xml:space="preserve">, there are more </w:t>
      </w:r>
      <w:r w:rsidR="00D80D3D">
        <w:t xml:space="preserve">case study </w:t>
      </w:r>
      <w:r>
        <w:t>users in some large overseas cities than there are in some small Australian cities.</w:t>
      </w:r>
      <w:r w:rsidR="00BB4358" w:rsidRPr="00BB4358">
        <w:rPr>
          <w:rStyle w:val="FootnoteReference"/>
        </w:rPr>
        <w:t xml:space="preserve"> </w:t>
      </w:r>
      <w:r>
        <w:t xml:space="preserve">This international usage is presumably a result of the large proportion of case study users from any location who find the case studies as a result of search engine queries (as per </w:t>
      </w:r>
      <w:r w:rsidRPr="003567BE">
        <w:rPr>
          <w:u w:val="single"/>
        </w:rPr>
        <w:t xml:space="preserve">Figure </w:t>
      </w:r>
      <w:r w:rsidR="00860D8E">
        <w:rPr>
          <w:u w:val="single"/>
        </w:rPr>
        <w:t>17</w:t>
      </w:r>
      <w:r>
        <w:t>).</w:t>
      </w:r>
    </w:p>
    <w:p w14:paraId="7312BD86" w14:textId="7927F132" w:rsidR="00112A83" w:rsidRDefault="001A43AB" w:rsidP="00112A83">
      <w:pPr>
        <w:pStyle w:val="FigureTitle"/>
        <w:numPr>
          <w:ilvl w:val="0"/>
          <w:numId w:val="25"/>
        </w:numPr>
      </w:pPr>
      <w:r>
        <w:t xml:space="preserve">Case </w:t>
      </w:r>
      <w:r w:rsidR="006F6917">
        <w:t>s</w:t>
      </w:r>
      <w:r>
        <w:t>tudy p</w:t>
      </w:r>
      <w:r w:rsidR="00112A83">
        <w:t>ageviews by city</w:t>
      </w:r>
    </w:p>
    <w:p w14:paraId="30FDAF7F" w14:textId="77777777" w:rsidR="00112A83" w:rsidRDefault="00112A83" w:rsidP="00112A83">
      <w:r>
        <w:rPr>
          <w:noProof/>
        </w:rPr>
        <w:drawing>
          <wp:inline distT="0" distB="0" distL="0" distR="0" wp14:anchorId="532FE8FF" wp14:editId="1F66BF29">
            <wp:extent cx="6264275" cy="2996565"/>
            <wp:effectExtent l="0" t="0" r="3175" b="0"/>
            <wp:docPr id="1599901744" name="Picture 3" descr="A bar chart showing the number of case study page views by city. The chart shows that case studies are most viewed from Sydney (about 18000 views), Melbourne, Brisbane, Perth, Adelaide and Canberra (about 4000 views), with the remaining cities each accounting for less than 1000 views over the time period.">
              <a:extLst xmlns:a="http://schemas.openxmlformats.org/drawingml/2006/main">
                <a:ext uri="{FF2B5EF4-FFF2-40B4-BE49-F238E27FC236}">
                  <a16:creationId xmlns:a16="http://schemas.microsoft.com/office/drawing/2014/main" id="{996D520C-0121-B23C-87A6-0D3C1026A9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01744" name="Picture 3" descr="A bar chart showing the number of case study page views by city. The chart shows that case studies are most viewed from Sydney (about 18000 views), Melbourne, Brisbane, Perth, Adelaide and Canberra (about 4000 views), with the remaining cities each accounting for less than 1000 views over the time period.">
                      <a:extLst>
                        <a:ext uri="{FF2B5EF4-FFF2-40B4-BE49-F238E27FC236}">
                          <a16:creationId xmlns:a16="http://schemas.microsoft.com/office/drawing/2014/main" id="{996D520C-0121-B23C-87A6-0D3C1026A9A0}"/>
                        </a:ext>
                      </a:extLst>
                    </pic:cNvPr>
                    <pic:cNvPicPr>
                      <a:picLocks noChangeAspect="1"/>
                    </pic:cNvPicPr>
                  </pic:nvPicPr>
                  <pic:blipFill>
                    <a:blip r:embed="rId30"/>
                    <a:stretch>
                      <a:fillRect/>
                    </a:stretch>
                  </pic:blipFill>
                  <pic:spPr>
                    <a:xfrm>
                      <a:off x="0" y="0"/>
                      <a:ext cx="6264275" cy="2996565"/>
                    </a:xfrm>
                    <a:prstGeom prst="rect">
                      <a:avLst/>
                    </a:prstGeom>
                  </pic:spPr>
                </pic:pic>
              </a:graphicData>
            </a:graphic>
          </wp:inline>
        </w:drawing>
      </w:r>
    </w:p>
    <w:p w14:paraId="0F4271AF" w14:textId="509EB9F8" w:rsidR="00112A83" w:rsidRDefault="00112A83" w:rsidP="00112A83">
      <w:r>
        <w:t xml:space="preserve">As shown in </w:t>
      </w:r>
      <w:r w:rsidRPr="003F61E9">
        <w:rPr>
          <w:u w:val="single"/>
        </w:rPr>
        <w:t xml:space="preserve">Figure </w:t>
      </w:r>
      <w:r w:rsidR="00860D8E">
        <w:rPr>
          <w:u w:val="single"/>
        </w:rPr>
        <w:t>20</w:t>
      </w:r>
      <w:r>
        <w:t>, when adjusted for population</w:t>
      </w:r>
      <w:r>
        <w:rPr>
          <w:rStyle w:val="FootnoteReference"/>
        </w:rPr>
        <w:footnoteReference w:id="5"/>
      </w:r>
      <w:r>
        <w:t xml:space="preserve">, case study use is very </w:t>
      </w:r>
      <w:r w:rsidR="000D7187">
        <w:t xml:space="preserve">similar </w:t>
      </w:r>
      <w:r>
        <w:t>across Australia’s states and territories, with the exception of ACT which experiences use about 5 times the average level of the other states/territories</w:t>
      </w:r>
      <w:r w:rsidR="000D7187">
        <w:t xml:space="preserve">. Some proportion of these users </w:t>
      </w:r>
      <w:r w:rsidR="00036473">
        <w:t>are located within NHMRC itself</w:t>
      </w:r>
      <w:r w:rsidRPr="00FA7BD2">
        <w:t>.</w:t>
      </w:r>
    </w:p>
    <w:p w14:paraId="030FF230" w14:textId="055637B9" w:rsidR="00112A83" w:rsidRDefault="001A43AB" w:rsidP="00112A83">
      <w:pPr>
        <w:pStyle w:val="FigureTitle"/>
        <w:numPr>
          <w:ilvl w:val="0"/>
          <w:numId w:val="25"/>
        </w:numPr>
      </w:pPr>
      <w:r>
        <w:t xml:space="preserve">Case </w:t>
      </w:r>
      <w:r w:rsidR="006F6917">
        <w:t>s</w:t>
      </w:r>
      <w:r>
        <w:t>tudy p</w:t>
      </w:r>
      <w:r w:rsidR="00112A83">
        <w:t>ageviews per capita by state/territory</w:t>
      </w:r>
    </w:p>
    <w:p w14:paraId="15CAC3FA" w14:textId="77777777" w:rsidR="00112A83" w:rsidRDefault="00112A83" w:rsidP="00112A83">
      <w:r>
        <w:rPr>
          <w:noProof/>
        </w:rPr>
        <w:drawing>
          <wp:inline distT="0" distB="0" distL="0" distR="0" wp14:anchorId="57A3757C" wp14:editId="457BE94F">
            <wp:extent cx="5569585" cy="1929433"/>
            <wp:effectExtent l="0" t="0" r="0" b="0"/>
            <wp:docPr id="1218335707" name="Picture 1" descr="A bar chart showing the number of case study pageviews per capita by state/territory. The chart shows that for all states besides ACT and NT, total case study pageviews are about 0.002 pageviews per 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35707" name="Picture 1" descr="A bar chart showing the number of case study pageviews per capita by state/territory. The chart shows that for all states besides ACT and NT, total case study pageviews are about 0.002 pageviews per capit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1497" cy="1933560"/>
                    </a:xfrm>
                    <a:prstGeom prst="rect">
                      <a:avLst/>
                    </a:prstGeom>
                    <a:noFill/>
                  </pic:spPr>
                </pic:pic>
              </a:graphicData>
            </a:graphic>
          </wp:inline>
        </w:drawing>
      </w:r>
    </w:p>
    <w:p w14:paraId="6D801DC9" w14:textId="77777777" w:rsidR="00036473" w:rsidRDefault="00036473" w:rsidP="00112A83"/>
    <w:p w14:paraId="7C96416D" w14:textId="0169969C" w:rsidR="00CB1A8C" w:rsidRDefault="00CB1A8C" w:rsidP="00CB1A8C">
      <w:pPr>
        <w:pStyle w:val="Heading5"/>
      </w:pPr>
      <w:r>
        <w:lastRenderedPageBreak/>
        <w:t>View</w:t>
      </w:r>
      <w:r w:rsidR="00036473">
        <w:t>s</w:t>
      </w:r>
      <w:r>
        <w:t xml:space="preserve"> by case study</w:t>
      </w:r>
      <w:r w:rsidR="00C10869">
        <w:t xml:space="preserve"> and topic</w:t>
      </w:r>
    </w:p>
    <w:p w14:paraId="3B417791" w14:textId="2A7E9F86" w:rsidR="00112A83" w:rsidRDefault="00112A83" w:rsidP="00112A83">
      <w:pPr>
        <w:tabs>
          <w:tab w:val="left" w:pos="703"/>
        </w:tabs>
      </w:pPr>
      <w:r>
        <w:t xml:space="preserve">As shown in </w:t>
      </w:r>
      <w:r w:rsidRPr="00E72864">
        <w:rPr>
          <w:u w:val="single"/>
        </w:rPr>
        <w:t xml:space="preserve">Figure </w:t>
      </w:r>
      <w:r w:rsidR="00C10869">
        <w:rPr>
          <w:u w:val="single"/>
        </w:rPr>
        <w:t>21</w:t>
      </w:r>
      <w:r>
        <w:t xml:space="preserve">, some case studies receive many more views per day than do others. </w:t>
      </w:r>
    </w:p>
    <w:p w14:paraId="5994D0DD" w14:textId="5F200609" w:rsidR="00112A83" w:rsidRDefault="00112A83" w:rsidP="00112A83">
      <w:pPr>
        <w:tabs>
          <w:tab w:val="left" w:pos="703"/>
        </w:tabs>
      </w:pPr>
      <w:r>
        <w:t xml:space="preserve">The median (middle) number of pageviews per day across all case studies published at the time of this analysis was 2.4. The case studies receiving views above this level are shown in </w:t>
      </w:r>
      <w:r w:rsidRPr="000760DE">
        <w:rPr>
          <w:u w:val="single"/>
        </w:rPr>
        <w:t xml:space="preserve">Figure </w:t>
      </w:r>
      <w:r w:rsidR="00194C0B">
        <w:rPr>
          <w:u w:val="single"/>
        </w:rPr>
        <w:t>21</w:t>
      </w:r>
      <w:r>
        <w:t xml:space="preserve">, while those receiving fewer than this value are shown in </w:t>
      </w:r>
      <w:r w:rsidRPr="000760DE">
        <w:rPr>
          <w:u w:val="single"/>
        </w:rPr>
        <w:t xml:space="preserve">Figure </w:t>
      </w:r>
      <w:r w:rsidR="00194C0B">
        <w:rPr>
          <w:u w:val="single"/>
        </w:rPr>
        <w:t>22</w:t>
      </w:r>
      <w:r>
        <w:t>.</w:t>
      </w:r>
      <w:r>
        <w:rPr>
          <w:rStyle w:val="FootnoteReference"/>
        </w:rPr>
        <w:footnoteReference w:id="6"/>
      </w:r>
    </w:p>
    <w:p w14:paraId="3D1D8A4C" w14:textId="47D67491" w:rsidR="00112A83" w:rsidRDefault="00BC66F6" w:rsidP="00112A83">
      <w:pPr>
        <w:pStyle w:val="FigureTitle"/>
        <w:numPr>
          <w:ilvl w:val="0"/>
          <w:numId w:val="25"/>
        </w:numPr>
      </w:pPr>
      <w:r>
        <w:t xml:space="preserve">Case </w:t>
      </w:r>
      <w:r w:rsidR="006F6917">
        <w:t>s</w:t>
      </w:r>
      <w:r>
        <w:t>tudy p</w:t>
      </w:r>
      <w:r w:rsidR="00112A83">
        <w:t>ageviews per day by case study – above median</w:t>
      </w:r>
    </w:p>
    <w:p w14:paraId="314F618C" w14:textId="77777777" w:rsidR="00112A83" w:rsidRDefault="00112A83" w:rsidP="00112A83">
      <w:r>
        <w:rPr>
          <w:noProof/>
        </w:rPr>
        <w:drawing>
          <wp:inline distT="0" distB="0" distL="0" distR="0" wp14:anchorId="6704B060" wp14:editId="6C72C74D">
            <wp:extent cx="6199048" cy="2818155"/>
            <wp:effectExtent l="0" t="0" r="0" b="1270"/>
            <wp:docPr id="1398565085" name="Picture 26" descr="Bar chart showing number of case study pageviews by case study, where this number is above the median. The chart shows that only three case studies (History of TB, rhesus immunisation and safer First Nations birthing) sit above a linear trend of between about 4 to about 2 pageviews per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65085" name="Picture 26" descr="Bar chart showing number of case study pageviews by case study, where this number is above the median. The chart shows that only three case studies (History of TB, rhesus immunisation and safer First Nations birthing) sit above a linear trend of between about 4 to about 2 pageviews per da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15479" cy="2825625"/>
                    </a:xfrm>
                    <a:prstGeom prst="rect">
                      <a:avLst/>
                    </a:prstGeom>
                    <a:noFill/>
                  </pic:spPr>
                </pic:pic>
              </a:graphicData>
            </a:graphic>
          </wp:inline>
        </w:drawing>
      </w:r>
    </w:p>
    <w:p w14:paraId="4D5E0CD4" w14:textId="11F5A5F3" w:rsidR="00112A83" w:rsidRDefault="003C05CE" w:rsidP="00112A83">
      <w:pPr>
        <w:pStyle w:val="FigureTitle"/>
        <w:numPr>
          <w:ilvl w:val="0"/>
          <w:numId w:val="25"/>
        </w:numPr>
      </w:pPr>
      <w:r>
        <w:t xml:space="preserve">Case </w:t>
      </w:r>
      <w:r w:rsidR="006F6917">
        <w:t>s</w:t>
      </w:r>
      <w:r>
        <w:t>tudy p</w:t>
      </w:r>
      <w:r w:rsidR="00112A83">
        <w:t>ageviews by case study – below median</w:t>
      </w:r>
    </w:p>
    <w:p w14:paraId="2C1EFA1B" w14:textId="77777777" w:rsidR="00112A83" w:rsidRDefault="00112A83" w:rsidP="00112A83">
      <w:pPr>
        <w:rPr>
          <w:noProof/>
        </w:rPr>
      </w:pPr>
      <w:r>
        <w:rPr>
          <w:noProof/>
        </w:rPr>
        <w:drawing>
          <wp:inline distT="0" distB="0" distL="0" distR="0" wp14:anchorId="2D58B7AE" wp14:editId="718D0FAD">
            <wp:extent cx="6214644" cy="2822528"/>
            <wp:effectExtent l="0" t="0" r="0" b="0"/>
            <wp:docPr id="1353029117" name="Picture 27" descr="Bar chart showing number of case study pageviews by case study, where this number is below the median. The chart shows that all case studies sit within a linear trend of between about 2.5 to about 1 pageviews per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29117" name="Picture 27" descr="Bar chart showing number of case study pageviews by case study, where this number is below the median. The chart shows that all case studies sit within a linear trend of between about 2.5 to about 1 pageviews per day"/>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26430" cy="2827881"/>
                    </a:xfrm>
                    <a:prstGeom prst="rect">
                      <a:avLst/>
                    </a:prstGeom>
                    <a:noFill/>
                  </pic:spPr>
                </pic:pic>
              </a:graphicData>
            </a:graphic>
          </wp:inline>
        </w:drawing>
      </w:r>
    </w:p>
    <w:p w14:paraId="3B6DB686" w14:textId="0B6FAD4F" w:rsidR="00112A83" w:rsidRDefault="00112A83" w:rsidP="00112A83">
      <w:pPr>
        <w:rPr>
          <w:noProof/>
        </w:rPr>
      </w:pPr>
      <w:r>
        <w:rPr>
          <w:noProof/>
        </w:rPr>
        <w:lastRenderedPageBreak/>
        <w:t xml:space="preserve">The 2023 case study evaluation investigated the question of why some case studies are viewed more than others and concluded that this was </w:t>
      </w:r>
      <w:r w:rsidR="00EF11BA">
        <w:rPr>
          <w:noProof/>
        </w:rPr>
        <w:t xml:space="preserve">most likely </w:t>
      </w:r>
      <w:r>
        <w:rPr>
          <w:noProof/>
        </w:rPr>
        <w:t>because some topics are searched for more often than others. Another reason may be that some case studies have been referred to by other websites. For example, the long</w:t>
      </w:r>
      <w:r w:rsidR="00EF11BA">
        <w:rPr>
          <w:noProof/>
        </w:rPr>
        <w:t>-</w:t>
      </w:r>
      <w:r>
        <w:rPr>
          <w:noProof/>
        </w:rPr>
        <w:t xml:space="preserve">term above-average interest in the 2020 </w:t>
      </w:r>
      <w:hyperlink r:id="rId34" w:history="1">
        <w:r w:rsidRPr="00DB179A">
          <w:rPr>
            <w:rStyle w:val="Hyperlink"/>
            <w:noProof/>
          </w:rPr>
          <w:t>History of tuberculosis control in Australia</w:t>
        </w:r>
      </w:hyperlink>
      <w:r>
        <w:rPr>
          <w:noProof/>
        </w:rPr>
        <w:t xml:space="preserve"> case study may be because it is referenced and quoted from the </w:t>
      </w:r>
      <w:hyperlink r:id="rId35" w:history="1">
        <w:r w:rsidRPr="006977E2">
          <w:rPr>
            <w:rStyle w:val="Hyperlink"/>
            <w:noProof/>
          </w:rPr>
          <w:t>Museums Victoria</w:t>
        </w:r>
      </w:hyperlink>
      <w:r>
        <w:rPr>
          <w:noProof/>
        </w:rPr>
        <w:t xml:space="preserve"> website.</w:t>
      </w:r>
    </w:p>
    <w:p w14:paraId="7B000EEA" w14:textId="63FB0BE7" w:rsidR="00112A83" w:rsidRDefault="00112A83" w:rsidP="00112A83">
      <w:pPr>
        <w:rPr>
          <w:noProof/>
        </w:rPr>
      </w:pPr>
      <w:r>
        <w:rPr>
          <w:noProof/>
        </w:rPr>
        <w:t xml:space="preserve">Notably, a number of case studies were referred to on page 3 of the </w:t>
      </w:r>
      <w:hyperlink r:id="rId36" w:history="1">
        <w:r w:rsidRPr="00686734">
          <w:rPr>
            <w:rStyle w:val="Hyperlink"/>
            <w:noProof/>
          </w:rPr>
          <w:t>draft National Health and Medical Research Strategy</w:t>
        </w:r>
      </w:hyperlink>
      <w:r>
        <w:rPr>
          <w:noProof/>
        </w:rPr>
        <w:t xml:space="preserve"> (refer </w:t>
      </w:r>
      <w:r w:rsidRPr="0056089B">
        <w:rPr>
          <w:noProof/>
          <w:u w:val="single"/>
        </w:rPr>
        <w:t xml:space="preserve">Figure </w:t>
      </w:r>
      <w:r w:rsidR="00E1486C">
        <w:rPr>
          <w:noProof/>
          <w:u w:val="single"/>
        </w:rPr>
        <w:t>23</w:t>
      </w:r>
      <w:r>
        <w:rPr>
          <w:noProof/>
        </w:rPr>
        <w:t xml:space="preserve">). Some other known public references to the case studies are provided at </w:t>
      </w:r>
      <w:r w:rsidRPr="00BC0C75">
        <w:rPr>
          <w:noProof/>
          <w:u w:val="single"/>
        </w:rPr>
        <w:t xml:space="preserve">Appendix </w:t>
      </w:r>
      <w:r w:rsidR="00165AA3">
        <w:rPr>
          <w:noProof/>
          <w:u w:val="single"/>
        </w:rPr>
        <w:t>C</w:t>
      </w:r>
      <w:r>
        <w:rPr>
          <w:noProof/>
        </w:rPr>
        <w:t>.</w:t>
      </w:r>
    </w:p>
    <w:p w14:paraId="7BAEF7CF" w14:textId="04A19E93" w:rsidR="0048188B" w:rsidRDefault="00BC3E50" w:rsidP="00112A83">
      <w:pPr>
        <w:rPr>
          <w:noProof/>
        </w:rPr>
      </w:pPr>
      <w:r>
        <w:rPr>
          <w:noProof/>
        </w:rPr>
        <w:t xml:space="preserve">Given that some topics are searched for more than others, one possible mechanism for increasing case study usage may be to include </w:t>
      </w:r>
      <w:r w:rsidRPr="0048188B">
        <w:rPr>
          <w:noProof/>
        </w:rPr>
        <w:t>more end-user, consumer and community stories in the case studies</w:t>
      </w:r>
      <w:r w:rsidR="00EE29E9">
        <w:rPr>
          <w:noProof/>
        </w:rPr>
        <w:t xml:space="preserve"> as such stories may relate to </w:t>
      </w:r>
      <w:r w:rsidR="003C3887">
        <w:rPr>
          <w:noProof/>
        </w:rPr>
        <w:t>topics of greater public interest</w:t>
      </w:r>
      <w:r>
        <w:rPr>
          <w:noProof/>
        </w:rPr>
        <w:t>.</w:t>
      </w:r>
    </w:p>
    <w:p w14:paraId="4C4917D9" w14:textId="77777777" w:rsidR="00112A83" w:rsidRDefault="00112A83" w:rsidP="00112A83">
      <w:pPr>
        <w:pStyle w:val="FigureTitle"/>
        <w:numPr>
          <w:ilvl w:val="0"/>
          <w:numId w:val="25"/>
        </w:numPr>
      </w:pPr>
      <w:r>
        <w:t xml:space="preserve">Image from the draft </w:t>
      </w:r>
      <w:r w:rsidRPr="00A219DF">
        <w:t>National Health and Medical Research Strategy 2026-2036</w:t>
      </w:r>
    </w:p>
    <w:p w14:paraId="2B24CEF4" w14:textId="77777777" w:rsidR="00112A83" w:rsidRDefault="00112A83" w:rsidP="00112A83">
      <w:pPr>
        <w:jc w:val="center"/>
      </w:pPr>
      <w:r w:rsidRPr="0056089B">
        <w:rPr>
          <w:noProof/>
        </w:rPr>
        <w:drawing>
          <wp:inline distT="0" distB="0" distL="0" distR="0" wp14:anchorId="60D61B65" wp14:editId="20AE53ED">
            <wp:extent cx="2657681" cy="2684892"/>
            <wp:effectExtent l="0" t="0" r="9525" b="1270"/>
            <wp:docPr id="152213492" name="Picture 1" descr="The diagram shows examples of Australian health and medical research outcomes arranged around a central heading. The centre reads “Examples of Australian health and medical research outcomes”. Surrounding it are eleven examples, including GM‑CSF discovery, development and use; Indigenous birthing on country services; Gardasil and cervical cancer vaccines; CSL local access to rapid medical advances since 1916; vaccine for chikungunya virus for the Asia‑Pacific region; cochlear implants; Australian corneal graft registry; FeSS protocols for stroke; NADINA melanoma trial; national bowel cancer screening program; and Genomator synthetic data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3492" name="Picture 1" descr="The diagram shows examples of Australian health and medical research outcomes arranged around a central heading. The centre reads “Examples of Australian health and medical research outcomes”. Surrounding it are eleven examples, including GM‑CSF discovery, development and use; Indigenous birthing on country services; Gardasil and cervical cancer vaccines; CSL local access to rapid medical advances since 1916; vaccine for chikungunya virus for the Asia‑Pacific region; cochlear implants; Australian corneal graft registry; FeSS protocols for stroke; NADINA melanoma trial; national bowel cancer screening program; and Genomator synthetic data generator."/>
                    <pic:cNvPicPr/>
                  </pic:nvPicPr>
                  <pic:blipFill>
                    <a:blip r:embed="rId37"/>
                    <a:stretch>
                      <a:fillRect/>
                    </a:stretch>
                  </pic:blipFill>
                  <pic:spPr>
                    <a:xfrm>
                      <a:off x="0" y="0"/>
                      <a:ext cx="2703900" cy="2731584"/>
                    </a:xfrm>
                    <a:prstGeom prst="rect">
                      <a:avLst/>
                    </a:prstGeom>
                  </pic:spPr>
                </pic:pic>
              </a:graphicData>
            </a:graphic>
          </wp:inline>
        </w:drawing>
      </w:r>
    </w:p>
    <w:p w14:paraId="22FD7EE2" w14:textId="77777777" w:rsidR="00307457" w:rsidRDefault="00112A83" w:rsidP="00112A83">
      <w:r>
        <w:t>Because case studies have different topics, they may also be of interest to people in locations</w:t>
      </w:r>
      <w:r w:rsidR="00686734">
        <w:t xml:space="preserve"> relating to those topics</w:t>
      </w:r>
      <w:r>
        <w:t xml:space="preserve">. </w:t>
      </w:r>
    </w:p>
    <w:p w14:paraId="0C2FC9DF" w14:textId="32DF0F02" w:rsidR="00112A83" w:rsidRDefault="00112A83" w:rsidP="00112A83">
      <w:r w:rsidRPr="00BB74F1">
        <w:rPr>
          <w:u w:val="single"/>
        </w:rPr>
        <w:t xml:space="preserve">Figure </w:t>
      </w:r>
      <w:r w:rsidR="00C10869">
        <w:rPr>
          <w:u w:val="single"/>
        </w:rPr>
        <w:t>24</w:t>
      </w:r>
      <w:r>
        <w:t xml:space="preserve"> shows those case studies that received more than two standard deviations above the mean of pageviews in each capital city.</w:t>
      </w:r>
      <w:r>
        <w:rPr>
          <w:rStyle w:val="FootnoteReference"/>
        </w:rPr>
        <w:footnoteReference w:id="7"/>
      </w:r>
      <w:r>
        <w:t xml:space="preserve"> </w:t>
      </w:r>
      <w:r w:rsidR="00307457">
        <w:t>As is evident w</w:t>
      </w:r>
      <w:r>
        <w:t xml:space="preserve">ithin </w:t>
      </w:r>
      <w:r w:rsidR="00307457">
        <w:t>this figure</w:t>
      </w:r>
      <w:r>
        <w:t xml:space="preserve">, </w:t>
      </w:r>
      <w:r w:rsidR="00A77CCD">
        <w:t xml:space="preserve">an obvious connection </w:t>
      </w:r>
      <w:r w:rsidR="0028503F">
        <w:t xml:space="preserve">often </w:t>
      </w:r>
      <w:r>
        <w:t>exists between the state/territory where the case study is most often used and the location of organisation(s) that partnered to develop it</w:t>
      </w:r>
      <w:r w:rsidR="00C57739">
        <w:t xml:space="preserve"> (shown on top of each bar)</w:t>
      </w:r>
      <w:r>
        <w:t>.</w:t>
      </w:r>
    </w:p>
    <w:p w14:paraId="2060358C" w14:textId="3BA0DD47" w:rsidR="00112A83" w:rsidRDefault="00112A83" w:rsidP="00112A83">
      <w:pPr>
        <w:pStyle w:val="FigureTitle"/>
        <w:numPr>
          <w:ilvl w:val="0"/>
          <w:numId w:val="25"/>
        </w:numPr>
      </w:pPr>
      <w:r>
        <w:lastRenderedPageBreak/>
        <w:t xml:space="preserve">Top proportions of pageviews </w:t>
      </w:r>
      <w:r w:rsidR="00CE742F">
        <w:t xml:space="preserve">received by </w:t>
      </w:r>
      <w:r>
        <w:t>case stud</w:t>
      </w:r>
      <w:r w:rsidR="00CE742F">
        <w:t>ies</w:t>
      </w:r>
      <w:r>
        <w:t xml:space="preserve"> for </w:t>
      </w:r>
      <w:r w:rsidR="00821793">
        <w:t xml:space="preserve">users in </w:t>
      </w:r>
      <w:r>
        <w:t>each capital city</w:t>
      </w:r>
    </w:p>
    <w:p w14:paraId="2BCDD519" w14:textId="26AF24FD" w:rsidR="00201407" w:rsidRDefault="00201407" w:rsidP="00112A83">
      <w:r>
        <w:rPr>
          <w:noProof/>
        </w:rPr>
        <w:drawing>
          <wp:inline distT="0" distB="0" distL="0" distR="0" wp14:anchorId="1CB0A105" wp14:editId="25790F79">
            <wp:extent cx="6480777" cy="4268177"/>
            <wp:effectExtent l="0" t="0" r="0" b="0"/>
            <wp:docPr id="451552079" name="Picture 13" descr="Bar chart showing the top proportions of pageviews received by case studies for each access channel. The chart is complex and hard to describe in words, but its key message is that some case studies in particular are being accessed due to information or links not found in a web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52079" name="Picture 13" descr="Bar chart showing the top proportions of pageviews received by case studies for each access channel. The chart is complex and hard to describe in words, but its key message is that some case studies in particular are being accessed due to information or links not found in a web search"/>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90812" cy="4274786"/>
                    </a:xfrm>
                    <a:prstGeom prst="rect">
                      <a:avLst/>
                    </a:prstGeom>
                    <a:noFill/>
                  </pic:spPr>
                </pic:pic>
              </a:graphicData>
            </a:graphic>
          </wp:inline>
        </w:drawing>
      </w:r>
    </w:p>
    <w:p w14:paraId="57FB6E0A" w14:textId="4050B5DF" w:rsidR="0081490D" w:rsidRDefault="0081490D" w:rsidP="0081490D">
      <w:pPr>
        <w:pStyle w:val="Heading5"/>
      </w:pPr>
      <w:r>
        <w:t>Viewer by access channel and usage platform</w:t>
      </w:r>
    </w:p>
    <w:p w14:paraId="70B5020C" w14:textId="77777777" w:rsidR="00EE2BBC" w:rsidRDefault="00112A83" w:rsidP="00112A83">
      <w:r>
        <w:t xml:space="preserve">While (as previously discussed) users may find case studies in different ways, it is also the case that the way that users find a case study is connected to the case study itself. </w:t>
      </w:r>
      <w:r w:rsidRPr="00E97FC6">
        <w:rPr>
          <w:u w:val="single"/>
        </w:rPr>
        <w:t xml:space="preserve">Figure </w:t>
      </w:r>
      <w:r w:rsidR="00C10869">
        <w:rPr>
          <w:u w:val="single"/>
        </w:rPr>
        <w:t>25</w:t>
      </w:r>
      <w:r>
        <w:t xml:space="preserve"> shows the top 5 case studies for each type of access channel (as previously defined). Notably, there are several case studies that appear in this figure more than once</w:t>
      </w:r>
      <w:r w:rsidR="00F36C0C">
        <w:t xml:space="preserve"> (as indicated on the chart)</w:t>
      </w:r>
      <w:r w:rsidR="00445D19">
        <w:t>.</w:t>
      </w:r>
      <w:r w:rsidR="00F36C0C">
        <w:t xml:space="preserve"> </w:t>
      </w:r>
    </w:p>
    <w:p w14:paraId="3286FC6A" w14:textId="18F456DC" w:rsidR="009338E6" w:rsidRDefault="00112A83" w:rsidP="00112A83">
      <w:r>
        <w:t>These results suggest that it was the case studies themselves (rather than their topics) that were of particular interest to users</w:t>
      </w:r>
      <w:r w:rsidR="00800D3C">
        <w:t>, and therefore that the users had received some kind of promotion concerning those case studies.</w:t>
      </w:r>
    </w:p>
    <w:p w14:paraId="60A352C0" w14:textId="61F46079" w:rsidR="00112A83" w:rsidRDefault="00112A83" w:rsidP="00112A83">
      <w:pPr>
        <w:pStyle w:val="FigureTitle"/>
        <w:numPr>
          <w:ilvl w:val="0"/>
          <w:numId w:val="25"/>
        </w:numPr>
      </w:pPr>
      <w:r>
        <w:lastRenderedPageBreak/>
        <w:t>Top five pageviews by case study by access channel</w:t>
      </w:r>
    </w:p>
    <w:p w14:paraId="22286DA2" w14:textId="3F0B1407" w:rsidR="00C374B7" w:rsidRDefault="00C374B7" w:rsidP="00112A83">
      <w:r>
        <w:rPr>
          <w:noProof/>
        </w:rPr>
        <w:drawing>
          <wp:inline distT="0" distB="0" distL="0" distR="0" wp14:anchorId="26C93072" wp14:editId="44FA49E6">
            <wp:extent cx="6157937" cy="3073542"/>
            <wp:effectExtent l="0" t="0" r="0" b="0"/>
            <wp:docPr id="1655494296" name="Picture 15" descr="Bar chart showing the top proportions of pageviews received by case studies for each access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94296" name="Picture 15" descr="Bar chart showing the top proportions of pageviews received by case studies for each access channe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64216" cy="3076676"/>
                    </a:xfrm>
                    <a:prstGeom prst="rect">
                      <a:avLst/>
                    </a:prstGeom>
                    <a:noFill/>
                  </pic:spPr>
                </pic:pic>
              </a:graphicData>
            </a:graphic>
          </wp:inline>
        </w:drawing>
      </w:r>
    </w:p>
    <w:p w14:paraId="1D54C468" w14:textId="7DFDB3ED" w:rsidR="00112A83" w:rsidRDefault="00112A83" w:rsidP="00112A83">
      <w:r>
        <w:t xml:space="preserve">Case study users </w:t>
      </w:r>
      <w:r w:rsidR="009D45FB">
        <w:t xml:space="preserve">may access them from </w:t>
      </w:r>
      <w:r>
        <w:t xml:space="preserve">different types of computer platforms. </w:t>
      </w:r>
      <w:r w:rsidRPr="00D35F1C">
        <w:rPr>
          <w:u w:val="single"/>
        </w:rPr>
        <w:t xml:space="preserve">Figure </w:t>
      </w:r>
      <w:r>
        <w:rPr>
          <w:u w:val="single"/>
        </w:rPr>
        <w:t>2</w:t>
      </w:r>
      <w:r w:rsidR="00C10869">
        <w:rPr>
          <w:u w:val="single"/>
        </w:rPr>
        <w:t>6</w:t>
      </w:r>
      <w:r>
        <w:t xml:space="preserve"> shows the top 10</w:t>
      </w:r>
      <w:r w:rsidR="00D0772D">
        <w:t> </w:t>
      </w:r>
      <w:r>
        <w:t xml:space="preserve">case studies per platform. Apple computers are often used within </w:t>
      </w:r>
      <w:r w:rsidR="003B7F92">
        <w:t xml:space="preserve">home and </w:t>
      </w:r>
      <w:r>
        <w:t>educational contexts</w:t>
      </w:r>
      <w:r w:rsidR="00980E86">
        <w:t xml:space="preserve">, </w:t>
      </w:r>
      <w:r w:rsidR="003B7F92">
        <w:t xml:space="preserve">and </w:t>
      </w:r>
      <w:r>
        <w:t>mobile platform</w:t>
      </w:r>
      <w:r w:rsidR="003B7F92">
        <w:t>s</w:t>
      </w:r>
      <w:r>
        <w:t xml:space="preserve"> </w:t>
      </w:r>
      <w:r w:rsidR="0047064D">
        <w:t xml:space="preserve">are most often used </w:t>
      </w:r>
      <w:r w:rsidR="00142ACD">
        <w:t>at home o</w:t>
      </w:r>
      <w:r w:rsidR="00AB3CF0">
        <w:t>r</w:t>
      </w:r>
      <w:r w:rsidR="00142ACD">
        <w:t xml:space="preserve"> ‘on the go’</w:t>
      </w:r>
      <w:r w:rsidR="0047064D">
        <w:t xml:space="preserve">. </w:t>
      </w:r>
      <w:r w:rsidR="00652055">
        <w:t xml:space="preserve">Across these two </w:t>
      </w:r>
      <w:r w:rsidR="0047064D">
        <w:t xml:space="preserve">platforms, </w:t>
      </w:r>
      <w:r w:rsidR="00652055">
        <w:t xml:space="preserve">at least half of the case studies have direct relevance to </w:t>
      </w:r>
      <w:r w:rsidR="00461FB3">
        <w:t>pregnancy and children</w:t>
      </w:r>
      <w:r w:rsidR="00980D3F">
        <w:t xml:space="preserve"> (as indicated</w:t>
      </w:r>
      <w:r w:rsidR="003553E8">
        <w:t xml:space="preserve"> by an asterisk</w:t>
      </w:r>
      <w:r w:rsidR="00584D9D">
        <w:t xml:space="preserve"> in the graph)</w:t>
      </w:r>
      <w:r w:rsidR="00461FB3">
        <w:t xml:space="preserve">, suggesting that </w:t>
      </w:r>
      <w:r w:rsidR="00354032">
        <w:t xml:space="preserve">the case studies were being used </w:t>
      </w:r>
      <w:r w:rsidR="000C5A23">
        <w:t xml:space="preserve">as part of personal information gathering </w:t>
      </w:r>
      <w:r w:rsidR="00354032">
        <w:t>by members of the public.</w:t>
      </w:r>
    </w:p>
    <w:p w14:paraId="57FF9A8E" w14:textId="74950C2B" w:rsidR="00112A83" w:rsidRDefault="00112A83" w:rsidP="00112A83">
      <w:pPr>
        <w:pStyle w:val="FigureTitle"/>
        <w:numPr>
          <w:ilvl w:val="0"/>
          <w:numId w:val="25"/>
        </w:numPr>
      </w:pPr>
      <w:r>
        <w:lastRenderedPageBreak/>
        <w:t xml:space="preserve">Top 10 proportionate pageviews for case studies for each </w:t>
      </w:r>
      <w:r w:rsidR="00D95646">
        <w:t xml:space="preserve">software </w:t>
      </w:r>
      <w:r>
        <w:t>platform</w:t>
      </w:r>
    </w:p>
    <w:p w14:paraId="19CC5FC8" w14:textId="2152D1E4" w:rsidR="004D6D52" w:rsidRDefault="007C2EB6" w:rsidP="00112A83">
      <w:r>
        <w:rPr>
          <w:noProof/>
        </w:rPr>
        <mc:AlternateContent>
          <mc:Choice Requires="wps">
            <w:drawing>
              <wp:anchor distT="45720" distB="45720" distL="114300" distR="114300" simplePos="0" relativeHeight="251658240" behindDoc="0" locked="0" layoutInCell="1" allowOverlap="1" wp14:anchorId="55664E58" wp14:editId="44F04CC3">
                <wp:simplePos x="0" y="0"/>
                <wp:positionH relativeFrom="column">
                  <wp:posOffset>1142702</wp:posOffset>
                </wp:positionH>
                <wp:positionV relativeFrom="paragraph">
                  <wp:posOffset>280630</wp:posOffset>
                </wp:positionV>
                <wp:extent cx="1128532" cy="376177"/>
                <wp:effectExtent l="0" t="0" r="14605"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532" cy="376177"/>
                        </a:xfrm>
                        <a:prstGeom prst="rect">
                          <a:avLst/>
                        </a:prstGeom>
                        <a:solidFill>
                          <a:srgbClr val="FFFFFF"/>
                        </a:solidFill>
                        <a:ln w="9525">
                          <a:solidFill>
                            <a:schemeClr val="bg1">
                              <a:lumMod val="85000"/>
                            </a:schemeClr>
                          </a:solidFill>
                          <a:miter lim="800000"/>
                          <a:headEnd/>
                          <a:tailEnd/>
                        </a:ln>
                      </wps:spPr>
                      <wps:txbx>
                        <w:txbxContent>
                          <w:p w14:paraId="6C2787FC" w14:textId="73165A64" w:rsidR="007C2EB6" w:rsidRPr="00CC4EFF" w:rsidRDefault="007C2EB6" w:rsidP="00CC4EFF">
                            <w:pPr>
                              <w:spacing w:before="0" w:after="0" w:line="40" w:lineRule="atLeast"/>
                              <w:rPr>
                                <w:color w:val="595959" w:themeColor="text1" w:themeTint="A6"/>
                                <w:sz w:val="12"/>
                                <w:szCs w:val="12"/>
                              </w:rPr>
                            </w:pPr>
                            <w:r w:rsidRPr="00CC4EFF">
                              <w:rPr>
                                <w:color w:val="595959" w:themeColor="text1" w:themeTint="A6"/>
                                <w:sz w:val="12"/>
                                <w:szCs w:val="12"/>
                              </w:rPr>
                              <w:t>Case studies relating to pregnancy or children marked with an asterisk</w:t>
                            </w:r>
                            <w:r w:rsidR="00CC4EFF">
                              <w:rPr>
                                <w:color w:val="595959" w:themeColor="text1" w:themeTint="A6"/>
                                <w:sz w:val="12"/>
                                <w:szCs w:val="1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664E58" id="_x0000_t202" coordsize="21600,21600" o:spt="202" path="m,l,21600r21600,l21600,xe">
                <v:stroke joinstyle="miter"/>
                <v:path gradientshapeok="t" o:connecttype="rect"/>
              </v:shapetype>
              <v:shape id="Text Box 2" o:spid="_x0000_s1026" type="#_x0000_t202" style="position:absolute;margin-left:90pt;margin-top:22.1pt;width:88.85pt;height:29.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" strokecolor="#d8d8d8 [2732]">
                <v:textbox>
                  <w:txbxContent>
                    <w:p w14:paraId="6C2787FC" w14:textId="73165A64" w:rsidR="007C2EB6" w:rsidRPr="00CC4EFF" w:rsidRDefault="007C2EB6" w:rsidP="00CC4EFF">
                      <w:pPr>
                        <w:spacing w:before="0" w:after="0" w:line="40" w:lineRule="atLeast"/>
                        <w:rPr>
                          <w:color w:val="595959" w:themeColor="text1" w:themeTint="A6"/>
                          <w:sz w:val="12"/>
                          <w:szCs w:val="12"/>
                        </w:rPr>
                      </w:pPr>
                      <w:r w:rsidRPr="00CC4EFF">
                        <w:rPr>
                          <w:color w:val="595959" w:themeColor="text1" w:themeTint="A6"/>
                          <w:sz w:val="12"/>
                          <w:szCs w:val="12"/>
                        </w:rPr>
                        <w:t>Case studies relating to pregnancy or children marked with an asterisk</w:t>
                      </w:r>
                      <w:r w:rsidR="00CC4EFF">
                        <w:rPr>
                          <w:color w:val="595959" w:themeColor="text1" w:themeTint="A6"/>
                          <w:sz w:val="12"/>
                          <w:szCs w:val="12"/>
                        </w:rPr>
                        <w:t xml:space="preserve"> </w:t>
                      </w:r>
                    </w:p>
                  </w:txbxContent>
                </v:textbox>
              </v:shape>
            </w:pict>
          </mc:Fallback>
        </mc:AlternateContent>
      </w:r>
      <w:r w:rsidR="007E533C">
        <w:rPr>
          <w:noProof/>
        </w:rPr>
        <w:drawing>
          <wp:inline distT="0" distB="0" distL="0" distR="0" wp14:anchorId="12F5180C" wp14:editId="2A5948AB">
            <wp:extent cx="5969809" cy="3902670"/>
            <wp:effectExtent l="0" t="0" r="0" b="3175"/>
            <wp:docPr id="1368690850" name="Picture 2" descr="Bar chart showing the top proportions of pageviews received by case studies for  each software platform. The chart shows that mobile platform and Apple operating system users are particularly focused on case studies relating to pregnancy or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90850" name="Picture 2" descr="Bar chart showing the top proportions of pageviews received by case studies for  each software platform. The chart shows that mobile platform and Apple operating system users are particularly focused on case studies relating to pregnancy or childre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80157" cy="3909435"/>
                    </a:xfrm>
                    <a:prstGeom prst="rect">
                      <a:avLst/>
                    </a:prstGeom>
                    <a:noFill/>
                  </pic:spPr>
                </pic:pic>
              </a:graphicData>
            </a:graphic>
          </wp:inline>
        </w:drawing>
      </w:r>
    </w:p>
    <w:p w14:paraId="13F3348D" w14:textId="77777777" w:rsidR="00112A83" w:rsidRDefault="00112A83" w:rsidP="00112A83">
      <w:pPr>
        <w:pStyle w:val="Boxed1Heading"/>
      </w:pPr>
      <w:r>
        <w:t>Findings</w:t>
      </w:r>
    </w:p>
    <w:p w14:paraId="7433BEB1" w14:textId="0C9C8CDD" w:rsidR="00112A83" w:rsidRDefault="00112A83" w:rsidP="00112A83">
      <w:pPr>
        <w:pStyle w:val="Boxed1Text"/>
        <w:ind w:left="426" w:hanging="142"/>
      </w:pPr>
      <w:r>
        <w:t>• At present, case study users are most likely to find them organically.</w:t>
      </w:r>
    </w:p>
    <w:p w14:paraId="0027725B" w14:textId="77777777" w:rsidR="00112A83" w:rsidRDefault="00112A83" w:rsidP="00112A83">
      <w:pPr>
        <w:pStyle w:val="Boxed1Text"/>
        <w:ind w:left="426" w:hanging="142"/>
      </w:pPr>
      <w:r>
        <w:t>• Case studies are valuable not only because they are read directly, but also because they are referred to within other government documents and webpages.</w:t>
      </w:r>
    </w:p>
    <w:p w14:paraId="748E4D81" w14:textId="47E537CA" w:rsidR="00112A83" w:rsidRDefault="00112A83" w:rsidP="008B3D1A">
      <w:pPr>
        <w:pStyle w:val="Boxed1Text"/>
        <w:ind w:left="426" w:hanging="142"/>
      </w:pPr>
      <w:r>
        <w:t xml:space="preserve">• Some case studies are being used because users already knew they existed. Increased social media promotion might increase the proportion of case studies </w:t>
      </w:r>
      <w:r w:rsidR="002B3873">
        <w:t>found in this way</w:t>
      </w:r>
      <w:r>
        <w:t>.</w:t>
      </w:r>
    </w:p>
    <w:p w14:paraId="13466CE7" w14:textId="1EE0B00F" w:rsidR="006C175B" w:rsidRDefault="006C175B" w:rsidP="008B3D1A">
      <w:pPr>
        <w:pStyle w:val="Boxed1Text"/>
        <w:ind w:left="426" w:hanging="142"/>
      </w:pPr>
      <w:r>
        <w:t xml:space="preserve">• Another approach may be to </w:t>
      </w:r>
      <w:r w:rsidR="00EA75DD">
        <w:rPr>
          <w:noProof/>
        </w:rPr>
        <w:t xml:space="preserve">include </w:t>
      </w:r>
      <w:r w:rsidR="00EA75DD" w:rsidRPr="0048188B">
        <w:rPr>
          <w:noProof/>
        </w:rPr>
        <w:t>more end-user, consumer and community stories in the case studies</w:t>
      </w:r>
      <w:r w:rsidR="00EA75DD">
        <w:rPr>
          <w:noProof/>
        </w:rPr>
        <w:t>.</w:t>
      </w:r>
    </w:p>
    <w:p w14:paraId="4BCAFD29" w14:textId="6CFEF6CD" w:rsidR="008F3041" w:rsidRPr="00107B3D" w:rsidRDefault="00C048A9" w:rsidP="008F3041">
      <w:pPr>
        <w:pStyle w:val="Heading2"/>
      </w:pPr>
      <w:bookmarkStart w:id="6" w:name="_Toc228953737"/>
      <w:r>
        <w:t>Discussion</w:t>
      </w:r>
      <w:bookmarkEnd w:id="6"/>
    </w:p>
    <w:p w14:paraId="213693CF" w14:textId="4852E216" w:rsidR="00075C27" w:rsidRDefault="00D77B34" w:rsidP="00D77B34">
      <w:r>
        <w:t xml:space="preserve">The analyses above </w:t>
      </w:r>
      <w:r w:rsidR="00567571">
        <w:t xml:space="preserve">provide </w:t>
      </w:r>
      <w:r w:rsidR="00075C27">
        <w:t xml:space="preserve">reassurance that the case study business activity is delivering value for </w:t>
      </w:r>
      <w:r w:rsidR="00C77E06">
        <w:t xml:space="preserve">NHMRC </w:t>
      </w:r>
      <w:r w:rsidR="002B3873">
        <w:t xml:space="preserve">and </w:t>
      </w:r>
      <w:r w:rsidR="00075C27">
        <w:t xml:space="preserve">also suggest </w:t>
      </w:r>
      <w:r>
        <w:t xml:space="preserve">steps that could be taken to </w:t>
      </w:r>
      <w:r w:rsidR="00075C27">
        <w:t xml:space="preserve">improve performance. </w:t>
      </w:r>
    </w:p>
    <w:p w14:paraId="58EE3E30" w14:textId="7680F1EC" w:rsidR="007C708E" w:rsidRDefault="007C708E" w:rsidP="00D77B34">
      <w:r>
        <w:t xml:space="preserve">The analyses relating to case study topics indicate that case studies have been developed </w:t>
      </w:r>
      <w:r w:rsidR="001842D0">
        <w:t xml:space="preserve">covering a broad range of topics, a broad range of research institutions and an increasingly balanced collection of researchers by gender. </w:t>
      </w:r>
      <w:r w:rsidR="001E7F72">
        <w:t xml:space="preserve">Therefore, the </w:t>
      </w:r>
      <w:r w:rsidR="00275D10">
        <w:t xml:space="preserve">range of processes used to underpin the selection of </w:t>
      </w:r>
      <w:r w:rsidR="001E7F72">
        <w:t xml:space="preserve">case study topics </w:t>
      </w:r>
      <w:r w:rsidR="00275D10">
        <w:t>are ‘fit for purpose’ and do not apparently require any alteration.</w:t>
      </w:r>
    </w:p>
    <w:p w14:paraId="21078EC8" w14:textId="77777777" w:rsidR="00D57AC3" w:rsidRDefault="00D57AC3" w:rsidP="00D57AC3">
      <w:r>
        <w:lastRenderedPageBreak/>
        <w:t>The analyses relating to case study use suggest that the case studies are being utilised by members of the general public who are interested in the case study topics. Users are located all over the world and across Australia.</w:t>
      </w:r>
    </w:p>
    <w:p w14:paraId="73D44070" w14:textId="6DEF0A86" w:rsidR="00950D92" w:rsidRDefault="00627DF3" w:rsidP="00950D92">
      <w:r>
        <w:t xml:space="preserve">The </w:t>
      </w:r>
      <w:r w:rsidR="001036D0">
        <w:t xml:space="preserve">analyses relating to case study promotion indicate that </w:t>
      </w:r>
      <w:r>
        <w:t xml:space="preserve">opportunities exist to improve promotion of the case studies. </w:t>
      </w:r>
      <w:r w:rsidR="006B723F">
        <w:t>For example,</w:t>
      </w:r>
      <w:r>
        <w:t xml:space="preserve"> </w:t>
      </w:r>
      <w:r w:rsidR="003F0A81">
        <w:t xml:space="preserve">tweets about the case studies </w:t>
      </w:r>
      <w:r w:rsidR="00BD13E5">
        <w:t xml:space="preserve">could be drafted to be </w:t>
      </w:r>
      <w:r w:rsidR="003F0A81">
        <w:t>more attractive to readers</w:t>
      </w:r>
      <w:r w:rsidR="00712445">
        <w:t>.</w:t>
      </w:r>
      <w:r w:rsidR="008E0F1C">
        <w:t xml:space="preserve"> W</w:t>
      </w:r>
      <w:r w:rsidR="007A0B80">
        <w:t xml:space="preserve">hen the case studies </w:t>
      </w:r>
      <w:r w:rsidR="00CD4969">
        <w:t>a</w:t>
      </w:r>
      <w:r w:rsidR="00892BEA">
        <w:t>re</w:t>
      </w:r>
      <w:r w:rsidR="00CD4969">
        <w:t xml:space="preserve"> referred to within other</w:t>
      </w:r>
      <w:r w:rsidR="008E0F1C">
        <w:t xml:space="preserve"> online</w:t>
      </w:r>
      <w:r w:rsidR="00CD4969">
        <w:t xml:space="preserve"> documents (e.g. National HMR Strategy) as not only does this demonstrate their value but it also increases the </w:t>
      </w:r>
      <w:r w:rsidR="009328E6">
        <w:t xml:space="preserve">number of people who are aware of them. </w:t>
      </w:r>
      <w:r w:rsidR="00BF7429">
        <w:br w:type="page"/>
      </w:r>
    </w:p>
    <w:p w14:paraId="30B8F602" w14:textId="77777777" w:rsidR="00950D92" w:rsidRDefault="00BF7429" w:rsidP="00C352F3">
      <w:pPr>
        <w:pStyle w:val="Heading2"/>
      </w:pPr>
      <w:bookmarkStart w:id="7" w:name="_Toc228953738"/>
      <w:r>
        <w:lastRenderedPageBreak/>
        <w:t>Appendices</w:t>
      </w:r>
      <w:bookmarkEnd w:id="7"/>
    </w:p>
    <w:p w14:paraId="2E4EEED7" w14:textId="77777777" w:rsidR="005D5FEC" w:rsidRDefault="005D5FEC" w:rsidP="00950D92">
      <w:pPr>
        <w:pStyle w:val="SourceNotesHeading"/>
      </w:pPr>
    </w:p>
    <w:p w14:paraId="2FD1D8DE" w14:textId="73C6E549" w:rsidR="003A23A0" w:rsidRDefault="00013F8D" w:rsidP="003A23A0">
      <w:pPr>
        <w:pStyle w:val="AppendixNumbered"/>
        <w:numPr>
          <w:ilvl w:val="0"/>
          <w:numId w:val="19"/>
        </w:numPr>
      </w:pPr>
      <w:bookmarkStart w:id="8" w:name="_Toc228953739"/>
      <w:r>
        <w:lastRenderedPageBreak/>
        <w:t>Methodology</w:t>
      </w:r>
      <w:bookmarkEnd w:id="8"/>
    </w:p>
    <w:p w14:paraId="694F9E79" w14:textId="6778FF58" w:rsidR="00013F8D" w:rsidRDefault="00013F8D" w:rsidP="00013F8D">
      <w:r>
        <w:t xml:space="preserve">The scope of the present evaluation includes all case studies produced up to and including </w:t>
      </w:r>
      <w:r w:rsidRPr="009F374A">
        <w:rPr>
          <w:rStyle w:val="Emphasis"/>
        </w:rPr>
        <w:t xml:space="preserve">Safer </w:t>
      </w:r>
      <w:r>
        <w:rPr>
          <w:rStyle w:val="Emphasis"/>
        </w:rPr>
        <w:t>c</w:t>
      </w:r>
      <w:r w:rsidRPr="009F374A">
        <w:rPr>
          <w:rStyle w:val="Emphasis"/>
        </w:rPr>
        <w:t xml:space="preserve">ontact </w:t>
      </w:r>
      <w:r>
        <w:rPr>
          <w:rStyle w:val="Emphasis"/>
        </w:rPr>
        <w:t>l</w:t>
      </w:r>
      <w:r w:rsidRPr="009F374A">
        <w:rPr>
          <w:rStyle w:val="Emphasis"/>
        </w:rPr>
        <w:t>enses</w:t>
      </w:r>
      <w:r>
        <w:t>, which was published on 10 October 2025, and which was the most recent case study to have been published when data collection for the evaluation began.</w:t>
      </w:r>
      <w:r w:rsidR="00C64B8C">
        <w:t xml:space="preserve"> The full list of these case studies is provided in </w:t>
      </w:r>
      <w:r w:rsidR="00C64B8C" w:rsidRPr="00C64B8C">
        <w:rPr>
          <w:u w:val="single"/>
        </w:rPr>
        <w:t>Appendix B</w:t>
      </w:r>
      <w:r w:rsidR="00C64B8C">
        <w:t>.</w:t>
      </w:r>
    </w:p>
    <w:p w14:paraId="2E7F841D" w14:textId="28A9BFCA" w:rsidR="00013F8D" w:rsidRDefault="00013F8D" w:rsidP="00013F8D">
      <w:r>
        <w:t xml:space="preserve">The cover image of this report is a word cloud based upon the text of all case studies up to and including </w:t>
      </w:r>
      <w:r w:rsidRPr="00963F86">
        <w:rPr>
          <w:rStyle w:val="Emphasis"/>
        </w:rPr>
        <w:t>Safer contact lenses</w:t>
      </w:r>
      <w:r>
        <w:t>. This image was generated using Provalis Wordstat software.</w:t>
      </w:r>
    </w:p>
    <w:p w14:paraId="6CFC258C" w14:textId="4E2E8FE3" w:rsidR="00013F8D" w:rsidRDefault="00013F8D" w:rsidP="00013F8D">
      <w:pPr>
        <w:rPr>
          <w:lang w:val="en-US"/>
        </w:rPr>
      </w:pPr>
      <w:r>
        <w:t xml:space="preserve">The webmetric data </w:t>
      </w:r>
      <w:r w:rsidR="00E750D7">
        <w:t xml:space="preserve">analysed in this report </w:t>
      </w:r>
      <w:r>
        <w:t xml:space="preserve">was obtained from </w:t>
      </w:r>
      <w:r w:rsidR="00167C43" w:rsidRPr="00167C43">
        <w:t>Google Analytics</w:t>
      </w:r>
      <w:r w:rsidR="00167C43">
        <w:t xml:space="preserve"> </w:t>
      </w:r>
      <w:r>
        <w:t>and covers the period 18 April 2023 to 17 November 2025 inclusive</w:t>
      </w:r>
      <w:r>
        <w:rPr>
          <w:lang w:val="en-US"/>
        </w:rPr>
        <w:t>.</w:t>
      </w:r>
    </w:p>
    <w:p w14:paraId="203963F9" w14:textId="25324AD3" w:rsidR="00013F8D" w:rsidRDefault="00013F8D" w:rsidP="00013F8D">
      <w:pPr>
        <w:rPr>
          <w:lang w:val="en-US"/>
        </w:rPr>
      </w:pPr>
      <w:r>
        <w:rPr>
          <w:lang w:val="en-US"/>
        </w:rPr>
        <w:t xml:space="preserve">The Twitter/X data </w:t>
      </w:r>
      <w:r w:rsidR="00E750D7">
        <w:rPr>
          <w:lang w:val="en-US"/>
        </w:rPr>
        <w:t xml:space="preserve">analysed in this report </w:t>
      </w:r>
      <w:r>
        <w:rPr>
          <w:lang w:val="en-US"/>
        </w:rPr>
        <w:t>was obtained from</w:t>
      </w:r>
      <w:r w:rsidR="00167C43">
        <w:rPr>
          <w:lang w:val="en-US"/>
        </w:rPr>
        <w:t xml:space="preserve"> </w:t>
      </w:r>
      <w:r w:rsidR="00167C43" w:rsidRPr="00167C43">
        <w:rPr>
          <w:lang w:val="en-US"/>
        </w:rPr>
        <w:t>Hootsuite</w:t>
      </w:r>
      <w:r>
        <w:rPr>
          <w:lang w:val="en-US"/>
        </w:rPr>
        <w:t>. The data used for this analysis covered the 2018-2025 calendar years, inclusive.</w:t>
      </w:r>
    </w:p>
    <w:p w14:paraId="54BD0187" w14:textId="1D389C57" w:rsidR="00013F8D" w:rsidRDefault="00013F8D" w:rsidP="00013F8D">
      <w:pPr>
        <w:rPr>
          <w:lang w:val="en-US"/>
        </w:rPr>
      </w:pPr>
      <w:r>
        <w:rPr>
          <w:lang w:val="en-US"/>
        </w:rPr>
        <w:t>To allow different web- or Twitter-metrics to be placed on the same scale despite being reported using different units and/or possessing significantly different scales (depending upon the context), many analyses compare proportions</w:t>
      </w:r>
      <w:r w:rsidR="00370245">
        <w:rPr>
          <w:lang w:val="en-US"/>
        </w:rPr>
        <w:t xml:space="preserve"> rather than the original raw numbers</w:t>
      </w:r>
      <w:r>
        <w:rPr>
          <w:lang w:val="en-US"/>
        </w:rPr>
        <w:t xml:space="preserve">. The approach used </w:t>
      </w:r>
      <w:r w:rsidR="005A4B18">
        <w:rPr>
          <w:lang w:val="en-US"/>
        </w:rPr>
        <w:t>for rescaling involved a</w:t>
      </w:r>
      <w:r>
        <w:rPr>
          <w:lang w:val="en-US"/>
        </w:rPr>
        <w:t xml:space="preserve">ll the values for each variable </w:t>
      </w:r>
      <w:r w:rsidR="005A4B18">
        <w:rPr>
          <w:lang w:val="en-US"/>
        </w:rPr>
        <w:t xml:space="preserve">being </w:t>
      </w:r>
      <w:r>
        <w:rPr>
          <w:lang w:val="en-US"/>
        </w:rPr>
        <w:t xml:space="preserve">summed, and then each value </w:t>
      </w:r>
      <w:r w:rsidR="005A4B18">
        <w:rPr>
          <w:lang w:val="en-US"/>
        </w:rPr>
        <w:t xml:space="preserve">being </w:t>
      </w:r>
      <w:r>
        <w:rPr>
          <w:lang w:val="en-US"/>
        </w:rPr>
        <w:t>re-presented as a fraction of that total sum.</w:t>
      </w:r>
    </w:p>
    <w:p w14:paraId="2EFD6BE8" w14:textId="07CEA131" w:rsidR="00013F8D" w:rsidRDefault="00013F8D" w:rsidP="00013F8D">
      <w:pPr>
        <w:rPr>
          <w:lang w:val="en-US"/>
        </w:rPr>
      </w:pPr>
      <w:r>
        <w:t xml:space="preserve">Case studies largely consist of text. All case study text is captured within </w:t>
      </w:r>
      <w:r w:rsidR="006F021C">
        <w:t>a</w:t>
      </w:r>
      <w:r>
        <w:t xml:space="preserve"> case study database, as are categorisations of the text. </w:t>
      </w:r>
      <w:r>
        <w:rPr>
          <w:lang w:val="en-US"/>
        </w:rPr>
        <w:t>A ‘first approximation’ approach was used to assign case studies to Australian Institute of Health and Wellbeing (AIHW) population groups</w:t>
      </w:r>
      <w:r w:rsidR="00570487">
        <w:rPr>
          <w:lang w:val="en-US"/>
        </w:rPr>
        <w:t xml:space="preserve">, </w:t>
      </w:r>
      <w:r>
        <w:rPr>
          <w:lang w:val="en-US"/>
        </w:rPr>
        <w:t xml:space="preserve">health </w:t>
      </w:r>
      <w:r w:rsidR="00570487">
        <w:rPr>
          <w:lang w:val="en-US"/>
        </w:rPr>
        <w:t xml:space="preserve">and other </w:t>
      </w:r>
      <w:r>
        <w:rPr>
          <w:lang w:val="en-US"/>
        </w:rPr>
        <w:t xml:space="preserve">categories. </w:t>
      </w:r>
    </w:p>
    <w:p w14:paraId="69945E76" w14:textId="77777777" w:rsidR="00E05E86" w:rsidRDefault="00E05E86" w:rsidP="00E05E86">
      <w:pPr>
        <w:pStyle w:val="Heading5"/>
      </w:pPr>
      <w:r>
        <w:t>Background on tweeting</w:t>
      </w:r>
    </w:p>
    <w:p w14:paraId="7BF8B5F9" w14:textId="77777777" w:rsidR="00E05E86" w:rsidRDefault="00E05E86" w:rsidP="00E05E86">
      <w:r>
        <w:t>Tweets can be up to 280 characters in length and can include text as well as emojis, images, videos, GIFs, links and polls. They frequently include hashtags (#), which help to categorize tweets by topic (e.g. #ClimateChange), and mentions (@), which allow other users to be tagged (e.g. @username).</w:t>
      </w:r>
    </w:p>
    <w:p w14:paraId="0F69FAE2" w14:textId="77777777" w:rsidR="00E05E86" w:rsidRDefault="00E05E86" w:rsidP="00E05E86">
      <w:r>
        <w:t xml:space="preserve">NHMRC tweets are public so anyone can see them if they have access to a Twitter app. </w:t>
      </w:r>
    </w:p>
    <w:p w14:paraId="6FCA7974" w14:textId="77777777" w:rsidR="00E05E86" w:rsidRDefault="00E05E86" w:rsidP="00E05E86">
      <w:r>
        <w:t>There are a range of ways that a user can engage with or respond to a tweet, including:</w:t>
      </w:r>
    </w:p>
    <w:p w14:paraId="45A250AD" w14:textId="77777777" w:rsidR="00E05E86" w:rsidRDefault="00E05E86" w:rsidP="00E05E86">
      <w:pPr>
        <w:pStyle w:val="Bullet1"/>
        <w:numPr>
          <w:ilvl w:val="0"/>
          <w:numId w:val="6"/>
        </w:numPr>
        <w:spacing w:before="0" w:after="0"/>
      </w:pPr>
      <w:r>
        <w:t>Like – showing approval or interest by clicking the heart icon</w:t>
      </w:r>
    </w:p>
    <w:p w14:paraId="7EFDC84C" w14:textId="77777777" w:rsidR="00E05E86" w:rsidRDefault="00E05E86" w:rsidP="00E05E86">
      <w:pPr>
        <w:pStyle w:val="Bullet1"/>
        <w:numPr>
          <w:ilvl w:val="0"/>
          <w:numId w:val="6"/>
        </w:numPr>
        <w:spacing w:before="0" w:after="0"/>
      </w:pPr>
      <w:r>
        <w:t>Reply – responding directly to the tweet with a public comment</w:t>
      </w:r>
    </w:p>
    <w:p w14:paraId="68FA0870" w14:textId="77777777" w:rsidR="00E05E86" w:rsidRDefault="00E05E86" w:rsidP="00E05E86">
      <w:pPr>
        <w:pStyle w:val="Bullet1"/>
        <w:numPr>
          <w:ilvl w:val="0"/>
          <w:numId w:val="6"/>
        </w:numPr>
        <w:spacing w:before="0" w:after="0"/>
      </w:pPr>
      <w:r>
        <w:t>Repost (‘retweet’) – sharing the tweet with their own followers, either as-is or with added commentary</w:t>
      </w:r>
    </w:p>
    <w:p w14:paraId="5B22A234" w14:textId="77777777" w:rsidR="00E05E86" w:rsidRDefault="00E05E86" w:rsidP="00E05E86">
      <w:pPr>
        <w:pStyle w:val="Bullet1"/>
        <w:numPr>
          <w:ilvl w:val="0"/>
          <w:numId w:val="6"/>
        </w:numPr>
        <w:spacing w:before="0" w:after="0"/>
      </w:pPr>
      <w:r>
        <w:t>Hashtag exploration – clicking a hashtag to see all tweets using it</w:t>
      </w:r>
    </w:p>
    <w:p w14:paraId="5AB585D9" w14:textId="77777777" w:rsidR="00E05E86" w:rsidRDefault="00E05E86" w:rsidP="00E05E86">
      <w:pPr>
        <w:pStyle w:val="Bullet1"/>
        <w:numPr>
          <w:ilvl w:val="0"/>
          <w:numId w:val="6"/>
        </w:numPr>
        <w:spacing w:before="0" w:after="0"/>
      </w:pPr>
      <w:r>
        <w:t>Media tab – browsing only images and videos from a tweet or profile.</w:t>
      </w:r>
    </w:p>
    <w:p w14:paraId="16F4C575" w14:textId="7296ADC3" w:rsidR="00B557F2" w:rsidRDefault="00B557F2" w:rsidP="00B557F2">
      <w:pPr>
        <w:pStyle w:val="Heading5"/>
      </w:pPr>
      <w:r>
        <w:t>Background on webmetrics</w:t>
      </w:r>
    </w:p>
    <w:p w14:paraId="37F22291" w14:textId="7448DF47" w:rsidR="00EE72AF" w:rsidRDefault="00EE72AF" w:rsidP="00EE72AF">
      <w:pPr>
        <w:pStyle w:val="Bullet1"/>
        <w:numPr>
          <w:ilvl w:val="0"/>
          <w:numId w:val="0"/>
        </w:numPr>
        <w:spacing w:before="0" w:after="0"/>
      </w:pPr>
      <w:r w:rsidRPr="00F16A8D">
        <w:t xml:space="preserve">A </w:t>
      </w:r>
      <w:r w:rsidRPr="00F16A8D">
        <w:rPr>
          <w:b/>
          <w:bCs/>
        </w:rPr>
        <w:t>pageview</w:t>
      </w:r>
      <w:r w:rsidRPr="00F16A8D">
        <w:t xml:space="preserve"> is counted every time a page loads or reloads.</w:t>
      </w:r>
      <w:r>
        <w:t xml:space="preserve"> </w:t>
      </w:r>
      <w:r w:rsidRPr="00F16A8D">
        <w:t>If the same user refreshes a page 5</w:t>
      </w:r>
      <w:r w:rsidR="00570487">
        <w:t> </w:t>
      </w:r>
      <w:r w:rsidRPr="00F16A8D">
        <w:t>times, that’s 5 pageviews.</w:t>
      </w:r>
      <w:r>
        <w:t xml:space="preserve"> </w:t>
      </w:r>
      <w:r w:rsidRPr="009464E7">
        <w:rPr>
          <w:b/>
          <w:bCs/>
        </w:rPr>
        <w:t>Users</w:t>
      </w:r>
      <w:r w:rsidRPr="009464E7">
        <w:t xml:space="preserve"> are counted as unique individuals (based on cookies, devices, and Google’s identity signals).</w:t>
      </w:r>
      <w:r>
        <w:t xml:space="preserve"> </w:t>
      </w:r>
      <w:r w:rsidRPr="009464E7">
        <w:t>The same person visiting multiple pages or returning later is still one user (within the reporting period).</w:t>
      </w:r>
      <w:r>
        <w:t xml:space="preserve"> </w:t>
      </w:r>
      <w:r w:rsidRPr="008B1B55">
        <w:rPr>
          <w:b/>
          <w:bCs/>
        </w:rPr>
        <w:t>Engagement time</w:t>
      </w:r>
      <w:r w:rsidRPr="008B1B55">
        <w:t xml:space="preserve"> measures how long </w:t>
      </w:r>
      <w:r>
        <w:t>the</w:t>
      </w:r>
      <w:r w:rsidRPr="008B1B55">
        <w:t xml:space="preserve"> site was actively in focus.  Time is only counted when</w:t>
      </w:r>
      <w:r>
        <w:t xml:space="preserve"> t</w:t>
      </w:r>
      <w:r w:rsidRPr="008B1B55">
        <w:t>he page is in the foreground</w:t>
      </w:r>
      <w:r>
        <w:t xml:space="preserve"> and t</w:t>
      </w:r>
      <w:r w:rsidRPr="008B1B55">
        <w:t>he user is active (not idle or backgrounded)</w:t>
      </w:r>
      <w:r>
        <w:t>.</w:t>
      </w:r>
    </w:p>
    <w:p w14:paraId="4B806022" w14:textId="5D704ACA" w:rsidR="00B557F2" w:rsidRPr="00083C42" w:rsidRDefault="00EE72AF" w:rsidP="00083C42">
      <w:pPr>
        <w:rPr>
          <w:lang w:val="en-US"/>
        </w:rPr>
      </w:pPr>
      <w:r w:rsidRPr="00083C42">
        <w:rPr>
          <w:lang w:val="en-US"/>
        </w:rPr>
        <w:lastRenderedPageBreak/>
        <w:t>It is not possible to determine, from the data available, precisely where all pageviews originate from. Many organisations (both Australian and overseas) use cloud platforms such as AWS, Azure and Google Cloud. Pageview requests may be routed through overseas data centres and since analytics tools usually geo locate by IP address this can mean that pageviews are attributed to data centres in the US, Europe, or Asia even when the ultimate user does not reside there.</w:t>
      </w:r>
    </w:p>
    <w:p w14:paraId="027873A5" w14:textId="0B89E1CF" w:rsidR="00EE72AF" w:rsidRPr="00083C42" w:rsidRDefault="00083C42" w:rsidP="00083C42">
      <w:pPr>
        <w:rPr>
          <w:lang w:val="en-US"/>
        </w:rPr>
      </w:pPr>
      <w:r>
        <w:rPr>
          <w:lang w:val="en-US"/>
        </w:rPr>
        <w:t>Traffic may arrive at a case study in a nu</w:t>
      </w:r>
      <w:r w:rsidR="004D5CD4">
        <w:rPr>
          <w:lang w:val="en-US"/>
        </w:rPr>
        <w:t>mber of ways as follows:</w:t>
      </w:r>
    </w:p>
    <w:p w14:paraId="430434E8" w14:textId="62491B9B" w:rsidR="00B557F2" w:rsidRPr="004D5CD4" w:rsidRDefault="00B557F2" w:rsidP="004D5CD4">
      <w:pPr>
        <w:pStyle w:val="Bullet1"/>
        <w:numPr>
          <w:ilvl w:val="0"/>
          <w:numId w:val="6"/>
        </w:numPr>
        <w:spacing w:before="0" w:after="0"/>
      </w:pPr>
      <w:r w:rsidRPr="004D5CD4">
        <w:t xml:space="preserve">Organic Search: Traffic that arrives when users click on search engine links. </w:t>
      </w:r>
    </w:p>
    <w:p w14:paraId="136E765C" w14:textId="49BDEB84" w:rsidR="00B557F2" w:rsidRPr="004D5CD4" w:rsidRDefault="00B557F2" w:rsidP="004D5CD4">
      <w:pPr>
        <w:pStyle w:val="Bullet1"/>
        <w:numPr>
          <w:ilvl w:val="0"/>
          <w:numId w:val="6"/>
        </w:numPr>
        <w:spacing w:before="0" w:after="0"/>
      </w:pPr>
      <w:r w:rsidRPr="004D5CD4">
        <w:t>Direct: Traffic arriving from a bookmark or a link within a document.</w:t>
      </w:r>
    </w:p>
    <w:p w14:paraId="0FBF653E" w14:textId="438D3531" w:rsidR="00B557F2" w:rsidRPr="004D5CD4" w:rsidRDefault="00B557F2" w:rsidP="004D5CD4">
      <w:pPr>
        <w:pStyle w:val="Bullet1"/>
        <w:numPr>
          <w:ilvl w:val="0"/>
          <w:numId w:val="6"/>
        </w:numPr>
        <w:spacing w:before="0" w:after="0"/>
      </w:pPr>
      <w:r w:rsidRPr="004D5CD4">
        <w:t>Referral: Traffic that arrives when a user clicks a hyperlink on another webpage (excluding search engines and social platforms).</w:t>
      </w:r>
    </w:p>
    <w:p w14:paraId="3C9BA961" w14:textId="2C55E849" w:rsidR="00B557F2" w:rsidRPr="004D5CD4" w:rsidRDefault="00B557F2" w:rsidP="004D5CD4">
      <w:pPr>
        <w:pStyle w:val="Bullet1"/>
        <w:numPr>
          <w:ilvl w:val="0"/>
          <w:numId w:val="6"/>
        </w:numPr>
        <w:spacing w:before="0" w:after="0"/>
      </w:pPr>
      <w:r w:rsidRPr="004D5CD4">
        <w:t>Organic Social: Traffic arriving from links on social media platforms such as Facebook, LinkedIn, Twitter or Instagram.</w:t>
      </w:r>
    </w:p>
    <w:p w14:paraId="0C6A4FA2" w14:textId="5D67553F" w:rsidR="00B557F2" w:rsidRPr="004D5CD4" w:rsidRDefault="00B557F2" w:rsidP="004D5CD4">
      <w:pPr>
        <w:pStyle w:val="Bullet1"/>
        <w:numPr>
          <w:ilvl w:val="0"/>
          <w:numId w:val="6"/>
        </w:numPr>
        <w:spacing w:before="0" w:after="0"/>
      </w:pPr>
      <w:r w:rsidRPr="004D5CD4">
        <w:t>Email: Traffic generated when users click links in email messages (such as Tracker).</w:t>
      </w:r>
    </w:p>
    <w:p w14:paraId="6C5CD2E2" w14:textId="77777777" w:rsidR="00013F8D" w:rsidRDefault="00013F8D" w:rsidP="009C5529"/>
    <w:p w14:paraId="5302C8C7" w14:textId="77777777" w:rsidR="00951D4A" w:rsidRDefault="00951D4A" w:rsidP="007106A2"/>
    <w:p w14:paraId="05608DBE" w14:textId="77777777" w:rsidR="001021C4" w:rsidRDefault="001021C4" w:rsidP="007106A2">
      <w:pPr>
        <w:sectPr w:rsidR="001021C4" w:rsidSect="002308EE">
          <w:headerReference w:type="even" r:id="rId41"/>
          <w:headerReference w:type="default" r:id="rId42"/>
          <w:footerReference w:type="even" r:id="rId43"/>
          <w:footerReference w:type="default" r:id="rId44"/>
          <w:headerReference w:type="first" r:id="rId45"/>
          <w:footerReference w:type="first" r:id="rId46"/>
          <w:pgSz w:w="11906" w:h="16838" w:code="9"/>
          <w:pgMar w:top="1814" w:right="1134" w:bottom="1565" w:left="907" w:header="510" w:footer="510" w:gutter="0"/>
          <w:cols w:space="708"/>
          <w:titlePg/>
          <w:docGrid w:linePitch="360"/>
        </w:sectPr>
      </w:pPr>
    </w:p>
    <w:p w14:paraId="2E964CD2" w14:textId="013CBDB2" w:rsidR="00D314AD" w:rsidRDefault="00F02B69" w:rsidP="00D314AD">
      <w:pPr>
        <w:pStyle w:val="AppendixNumbered"/>
        <w:numPr>
          <w:ilvl w:val="0"/>
          <w:numId w:val="19"/>
        </w:numPr>
      </w:pPr>
      <w:bookmarkStart w:id="9" w:name="_Toc228953740"/>
      <w:r>
        <w:lastRenderedPageBreak/>
        <w:t>Case study categories</w:t>
      </w:r>
      <w:bookmarkEnd w:id="9"/>
    </w:p>
    <w:p w14:paraId="6E437ABE" w14:textId="77777777" w:rsidR="00EC77DD" w:rsidRDefault="00EC77DD" w:rsidP="007106A2"/>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312"/>
        <w:gridCol w:w="5262"/>
        <w:gridCol w:w="2083"/>
        <w:gridCol w:w="3260"/>
        <w:gridCol w:w="2835"/>
      </w:tblGrid>
      <w:tr w:rsidR="009D3917" w:rsidRPr="00EC77DD" w14:paraId="7137126B" w14:textId="77777777" w:rsidTr="009D3917">
        <w:trPr>
          <w:trHeight w:val="600"/>
        </w:trPr>
        <w:tc>
          <w:tcPr>
            <w:tcW w:w="552" w:type="dxa"/>
            <w:shd w:val="clear" w:color="auto" w:fill="D1F7FF" w:themeFill="accent6" w:themeFillTint="1A"/>
            <w:hideMark/>
          </w:tcPr>
          <w:p w14:paraId="2EC32C74" w14:textId="77777777" w:rsidR="009D3917" w:rsidRPr="00EC77DD" w:rsidRDefault="009D3917" w:rsidP="00EC77DD">
            <w:pPr>
              <w:spacing w:before="0" w:after="0" w:line="240" w:lineRule="auto"/>
              <w:rPr>
                <w:rFonts w:ascii="Aptos Narrow" w:eastAsia="Times New Roman" w:hAnsi="Aptos Narrow"/>
                <w:b/>
                <w:bCs/>
                <w:color w:val="auto"/>
                <w:sz w:val="22"/>
                <w:szCs w:val="22"/>
              </w:rPr>
            </w:pPr>
            <w:r w:rsidRPr="00EC77DD">
              <w:rPr>
                <w:rFonts w:ascii="Aptos Narrow" w:eastAsia="Times New Roman" w:hAnsi="Aptos Narrow"/>
                <w:b/>
                <w:bCs/>
                <w:color w:val="auto"/>
                <w:sz w:val="22"/>
                <w:szCs w:val="22"/>
              </w:rPr>
              <w:t>#</w:t>
            </w:r>
          </w:p>
        </w:tc>
        <w:tc>
          <w:tcPr>
            <w:tcW w:w="1312" w:type="dxa"/>
            <w:shd w:val="clear" w:color="auto" w:fill="D1F7FF" w:themeFill="accent6" w:themeFillTint="1A"/>
            <w:hideMark/>
          </w:tcPr>
          <w:p w14:paraId="108D337D" w14:textId="77777777" w:rsidR="009D3917" w:rsidRPr="00EC77DD" w:rsidRDefault="009D3917" w:rsidP="00EC77DD">
            <w:pPr>
              <w:spacing w:before="0" w:after="0" w:line="240" w:lineRule="auto"/>
              <w:rPr>
                <w:rFonts w:ascii="Aptos Narrow" w:eastAsia="Times New Roman" w:hAnsi="Aptos Narrow"/>
                <w:b/>
                <w:bCs/>
                <w:color w:val="auto"/>
                <w:sz w:val="22"/>
                <w:szCs w:val="22"/>
              </w:rPr>
            </w:pPr>
            <w:r w:rsidRPr="00EC77DD">
              <w:rPr>
                <w:rFonts w:ascii="Aptos Narrow" w:eastAsia="Times New Roman" w:hAnsi="Aptos Narrow"/>
                <w:b/>
                <w:bCs/>
                <w:color w:val="auto"/>
                <w:sz w:val="22"/>
                <w:szCs w:val="22"/>
              </w:rPr>
              <w:t>Publication date</w:t>
            </w:r>
          </w:p>
        </w:tc>
        <w:tc>
          <w:tcPr>
            <w:tcW w:w="5262" w:type="dxa"/>
            <w:shd w:val="clear" w:color="auto" w:fill="D1F7FF" w:themeFill="accent6" w:themeFillTint="1A"/>
            <w:hideMark/>
          </w:tcPr>
          <w:p w14:paraId="13FCFD1F" w14:textId="77777777" w:rsidR="009D3917" w:rsidRPr="00EC77DD" w:rsidRDefault="009D3917" w:rsidP="00EC77DD">
            <w:pPr>
              <w:spacing w:before="0" w:after="0" w:line="240" w:lineRule="auto"/>
              <w:rPr>
                <w:rFonts w:ascii="Aptos Narrow" w:eastAsia="Times New Roman" w:hAnsi="Aptos Narrow"/>
                <w:b/>
                <w:bCs/>
                <w:color w:val="auto"/>
                <w:sz w:val="22"/>
                <w:szCs w:val="22"/>
              </w:rPr>
            </w:pPr>
            <w:r w:rsidRPr="00EC77DD">
              <w:rPr>
                <w:rFonts w:ascii="Aptos Narrow" w:eastAsia="Times New Roman" w:hAnsi="Aptos Narrow"/>
                <w:b/>
                <w:bCs/>
                <w:color w:val="auto"/>
                <w:sz w:val="22"/>
                <w:szCs w:val="22"/>
              </w:rPr>
              <w:t>Full title</w:t>
            </w:r>
          </w:p>
        </w:tc>
        <w:tc>
          <w:tcPr>
            <w:tcW w:w="2083" w:type="dxa"/>
            <w:shd w:val="clear" w:color="auto" w:fill="D1F7FF" w:themeFill="accent6" w:themeFillTint="1A"/>
            <w:hideMark/>
          </w:tcPr>
          <w:p w14:paraId="6B873AA8" w14:textId="77777777" w:rsidR="009D3917" w:rsidRPr="00EC77DD" w:rsidRDefault="009D3917" w:rsidP="00EC77DD">
            <w:pPr>
              <w:spacing w:before="0" w:after="0" w:line="240" w:lineRule="auto"/>
              <w:rPr>
                <w:rFonts w:ascii="Aptos Narrow" w:eastAsia="Times New Roman" w:hAnsi="Aptos Narrow"/>
                <w:b/>
                <w:bCs/>
                <w:color w:val="auto"/>
                <w:sz w:val="22"/>
                <w:szCs w:val="22"/>
              </w:rPr>
            </w:pPr>
            <w:r w:rsidRPr="00EC77DD">
              <w:rPr>
                <w:rFonts w:ascii="Aptos Narrow" w:eastAsia="Times New Roman" w:hAnsi="Aptos Narrow"/>
                <w:b/>
                <w:bCs/>
                <w:color w:val="auto"/>
                <w:sz w:val="22"/>
                <w:szCs w:val="22"/>
              </w:rPr>
              <w:t>Pathway to Impact</w:t>
            </w:r>
          </w:p>
        </w:tc>
        <w:tc>
          <w:tcPr>
            <w:tcW w:w="3260" w:type="dxa"/>
            <w:shd w:val="clear" w:color="auto" w:fill="D1F7FF" w:themeFill="accent6" w:themeFillTint="1A"/>
            <w:hideMark/>
          </w:tcPr>
          <w:p w14:paraId="3DE21D8E" w14:textId="730FDA31" w:rsidR="009D3917" w:rsidRPr="00EC77DD" w:rsidRDefault="00467BC5" w:rsidP="00EC77DD">
            <w:pPr>
              <w:spacing w:before="0" w:after="0" w:line="240" w:lineRule="auto"/>
              <w:rPr>
                <w:rFonts w:ascii="Aptos Narrow" w:eastAsia="Times New Roman" w:hAnsi="Aptos Narrow"/>
                <w:b/>
                <w:bCs/>
                <w:color w:val="auto"/>
                <w:sz w:val="22"/>
                <w:szCs w:val="22"/>
              </w:rPr>
            </w:pPr>
            <w:r>
              <w:rPr>
                <w:rFonts w:ascii="Aptos Narrow" w:eastAsia="Times New Roman" w:hAnsi="Aptos Narrow"/>
                <w:b/>
                <w:bCs/>
                <w:color w:val="auto"/>
                <w:sz w:val="22"/>
                <w:szCs w:val="22"/>
              </w:rPr>
              <w:t>UK HRCS h</w:t>
            </w:r>
            <w:r w:rsidR="009D3917" w:rsidRPr="00EC77DD">
              <w:rPr>
                <w:rFonts w:ascii="Aptos Narrow" w:eastAsia="Times New Roman" w:hAnsi="Aptos Narrow"/>
                <w:b/>
                <w:bCs/>
                <w:color w:val="auto"/>
                <w:sz w:val="22"/>
                <w:szCs w:val="22"/>
              </w:rPr>
              <w:t>ealth categories</w:t>
            </w:r>
          </w:p>
        </w:tc>
        <w:tc>
          <w:tcPr>
            <w:tcW w:w="2835" w:type="dxa"/>
            <w:shd w:val="clear" w:color="auto" w:fill="D1F7FF" w:themeFill="accent6" w:themeFillTint="1A"/>
            <w:hideMark/>
          </w:tcPr>
          <w:p w14:paraId="26949CA4" w14:textId="7BD2105F" w:rsidR="009D3917" w:rsidRPr="00EC77DD" w:rsidRDefault="009D3917" w:rsidP="00EC77DD">
            <w:pPr>
              <w:spacing w:before="0" w:after="0" w:line="240" w:lineRule="auto"/>
              <w:rPr>
                <w:rFonts w:ascii="Aptos Narrow" w:eastAsia="Times New Roman" w:hAnsi="Aptos Narrow"/>
                <w:b/>
                <w:bCs/>
                <w:color w:val="auto"/>
                <w:sz w:val="22"/>
                <w:szCs w:val="22"/>
              </w:rPr>
            </w:pPr>
            <w:r w:rsidRPr="00EC77DD">
              <w:rPr>
                <w:rFonts w:ascii="Aptos Narrow" w:eastAsia="Times New Roman" w:hAnsi="Aptos Narrow"/>
                <w:b/>
                <w:bCs/>
                <w:color w:val="auto"/>
                <w:sz w:val="22"/>
                <w:szCs w:val="22"/>
              </w:rPr>
              <w:t>AIHW Population Group</w:t>
            </w:r>
          </w:p>
        </w:tc>
      </w:tr>
      <w:tr w:rsidR="009D3917" w:rsidRPr="00EC77DD" w14:paraId="42AEB15E" w14:textId="77777777" w:rsidTr="009D3917">
        <w:trPr>
          <w:trHeight w:val="300"/>
        </w:trPr>
        <w:tc>
          <w:tcPr>
            <w:tcW w:w="552" w:type="dxa"/>
            <w:noWrap/>
            <w:hideMark/>
          </w:tcPr>
          <w:p w14:paraId="68CA80CA"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w:t>
            </w:r>
          </w:p>
        </w:tc>
        <w:tc>
          <w:tcPr>
            <w:tcW w:w="1312" w:type="dxa"/>
            <w:noWrap/>
            <w:hideMark/>
          </w:tcPr>
          <w:p w14:paraId="3BBBB13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16-Dec-18</w:t>
            </w:r>
          </w:p>
        </w:tc>
        <w:tc>
          <w:tcPr>
            <w:tcW w:w="5262" w:type="dxa"/>
            <w:noWrap/>
            <w:hideMark/>
          </w:tcPr>
          <w:p w14:paraId="2A8A0058"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Picato gel</w:t>
            </w:r>
          </w:p>
        </w:tc>
        <w:tc>
          <w:tcPr>
            <w:tcW w:w="2083" w:type="dxa"/>
            <w:noWrap/>
            <w:hideMark/>
          </w:tcPr>
          <w:p w14:paraId="0B3BEB64"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14C2106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Cancer and neoplasms</w:t>
            </w:r>
          </w:p>
        </w:tc>
        <w:tc>
          <w:tcPr>
            <w:tcW w:w="2835" w:type="dxa"/>
            <w:noWrap/>
            <w:hideMark/>
          </w:tcPr>
          <w:p w14:paraId="73FB23C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2569B00C" w14:textId="77777777" w:rsidTr="009D3917">
        <w:trPr>
          <w:trHeight w:val="300"/>
        </w:trPr>
        <w:tc>
          <w:tcPr>
            <w:tcW w:w="552" w:type="dxa"/>
            <w:noWrap/>
            <w:hideMark/>
          </w:tcPr>
          <w:p w14:paraId="42D742AF"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2</w:t>
            </w:r>
          </w:p>
        </w:tc>
        <w:tc>
          <w:tcPr>
            <w:tcW w:w="1312" w:type="dxa"/>
            <w:noWrap/>
            <w:hideMark/>
          </w:tcPr>
          <w:p w14:paraId="5725FDC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16-Dec-18</w:t>
            </w:r>
          </w:p>
        </w:tc>
        <w:tc>
          <w:tcPr>
            <w:tcW w:w="5262" w:type="dxa"/>
            <w:noWrap/>
            <w:hideMark/>
          </w:tcPr>
          <w:p w14:paraId="6784A835"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Aridol and Bronchitol</w:t>
            </w:r>
          </w:p>
        </w:tc>
        <w:tc>
          <w:tcPr>
            <w:tcW w:w="2083" w:type="dxa"/>
            <w:noWrap/>
            <w:hideMark/>
          </w:tcPr>
          <w:p w14:paraId="6735E3F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1976D44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Respiratory</w:t>
            </w:r>
          </w:p>
        </w:tc>
        <w:tc>
          <w:tcPr>
            <w:tcW w:w="2835" w:type="dxa"/>
            <w:noWrap/>
            <w:hideMark/>
          </w:tcPr>
          <w:p w14:paraId="7EBB141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Children &amp; youth </w:t>
            </w:r>
          </w:p>
        </w:tc>
      </w:tr>
      <w:tr w:rsidR="009D3917" w:rsidRPr="00EC77DD" w14:paraId="2A23638B" w14:textId="77777777" w:rsidTr="009D3917">
        <w:trPr>
          <w:trHeight w:val="300"/>
        </w:trPr>
        <w:tc>
          <w:tcPr>
            <w:tcW w:w="552" w:type="dxa"/>
            <w:noWrap/>
            <w:hideMark/>
          </w:tcPr>
          <w:p w14:paraId="6293723B"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3</w:t>
            </w:r>
          </w:p>
        </w:tc>
        <w:tc>
          <w:tcPr>
            <w:tcW w:w="1312" w:type="dxa"/>
            <w:noWrap/>
            <w:hideMark/>
          </w:tcPr>
          <w:p w14:paraId="4D92324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18-Mar-19</w:t>
            </w:r>
          </w:p>
        </w:tc>
        <w:tc>
          <w:tcPr>
            <w:tcW w:w="5262" w:type="dxa"/>
            <w:noWrap/>
            <w:hideMark/>
          </w:tcPr>
          <w:p w14:paraId="7C9F9665"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 xml:space="preserve">The TRIUMPH Study </w:t>
            </w:r>
          </w:p>
        </w:tc>
        <w:tc>
          <w:tcPr>
            <w:tcW w:w="2083" w:type="dxa"/>
            <w:noWrap/>
            <w:hideMark/>
          </w:tcPr>
          <w:p w14:paraId="1159A14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368CA238"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Cardiovascular</w:t>
            </w:r>
          </w:p>
        </w:tc>
        <w:tc>
          <w:tcPr>
            <w:tcW w:w="2835" w:type="dxa"/>
            <w:noWrap/>
            <w:hideMark/>
          </w:tcPr>
          <w:p w14:paraId="4C38032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297E3818" w14:textId="77777777" w:rsidTr="009D3917">
        <w:trPr>
          <w:trHeight w:val="300"/>
        </w:trPr>
        <w:tc>
          <w:tcPr>
            <w:tcW w:w="552" w:type="dxa"/>
            <w:noWrap/>
            <w:hideMark/>
          </w:tcPr>
          <w:p w14:paraId="2AAE8F63"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4</w:t>
            </w:r>
          </w:p>
        </w:tc>
        <w:tc>
          <w:tcPr>
            <w:tcW w:w="1312" w:type="dxa"/>
            <w:noWrap/>
            <w:hideMark/>
          </w:tcPr>
          <w:p w14:paraId="05BF82D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4-Apr-19</w:t>
            </w:r>
          </w:p>
        </w:tc>
        <w:tc>
          <w:tcPr>
            <w:tcW w:w="5262" w:type="dxa"/>
            <w:noWrap/>
            <w:hideMark/>
          </w:tcPr>
          <w:p w14:paraId="1F0A21BB"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Pharmaxis</w:t>
            </w:r>
          </w:p>
        </w:tc>
        <w:tc>
          <w:tcPr>
            <w:tcW w:w="2083" w:type="dxa"/>
            <w:noWrap/>
            <w:hideMark/>
          </w:tcPr>
          <w:p w14:paraId="62BCD74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019C930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Respiratory</w:t>
            </w:r>
          </w:p>
        </w:tc>
        <w:tc>
          <w:tcPr>
            <w:tcW w:w="2835" w:type="dxa"/>
            <w:noWrap/>
            <w:hideMark/>
          </w:tcPr>
          <w:p w14:paraId="6EC1E05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Children &amp; youth </w:t>
            </w:r>
          </w:p>
        </w:tc>
      </w:tr>
      <w:tr w:rsidR="009D3917" w:rsidRPr="00EC77DD" w14:paraId="573BB67F" w14:textId="77777777" w:rsidTr="009D3917">
        <w:trPr>
          <w:trHeight w:val="300"/>
        </w:trPr>
        <w:tc>
          <w:tcPr>
            <w:tcW w:w="552" w:type="dxa"/>
            <w:noWrap/>
            <w:hideMark/>
          </w:tcPr>
          <w:p w14:paraId="6A3AC95B"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5</w:t>
            </w:r>
          </w:p>
        </w:tc>
        <w:tc>
          <w:tcPr>
            <w:tcW w:w="1312" w:type="dxa"/>
            <w:noWrap/>
            <w:hideMark/>
          </w:tcPr>
          <w:p w14:paraId="6C4BA3B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18-Jul-19</w:t>
            </w:r>
          </w:p>
        </w:tc>
        <w:tc>
          <w:tcPr>
            <w:tcW w:w="5262" w:type="dxa"/>
            <w:noWrap/>
            <w:hideMark/>
          </w:tcPr>
          <w:p w14:paraId="2CD38BE7"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SMART Health</w:t>
            </w:r>
          </w:p>
        </w:tc>
        <w:tc>
          <w:tcPr>
            <w:tcW w:w="2083" w:type="dxa"/>
            <w:noWrap/>
            <w:hideMark/>
          </w:tcPr>
          <w:p w14:paraId="4AAAE53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Device</w:t>
            </w:r>
          </w:p>
        </w:tc>
        <w:tc>
          <w:tcPr>
            <w:tcW w:w="3260" w:type="dxa"/>
            <w:noWrap/>
            <w:hideMark/>
          </w:tcPr>
          <w:p w14:paraId="1928A06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Generic health relevance</w:t>
            </w:r>
          </w:p>
        </w:tc>
        <w:tc>
          <w:tcPr>
            <w:tcW w:w="2835" w:type="dxa"/>
            <w:noWrap/>
            <w:hideMark/>
          </w:tcPr>
          <w:p w14:paraId="469EBAC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Rural &amp; remote Australians </w:t>
            </w:r>
          </w:p>
        </w:tc>
      </w:tr>
      <w:tr w:rsidR="009D3917" w:rsidRPr="00EC77DD" w14:paraId="04B0FA36" w14:textId="77777777" w:rsidTr="009D3917">
        <w:trPr>
          <w:trHeight w:val="300"/>
        </w:trPr>
        <w:tc>
          <w:tcPr>
            <w:tcW w:w="552" w:type="dxa"/>
            <w:noWrap/>
            <w:hideMark/>
          </w:tcPr>
          <w:p w14:paraId="28D51D0D"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6</w:t>
            </w:r>
          </w:p>
        </w:tc>
        <w:tc>
          <w:tcPr>
            <w:tcW w:w="1312" w:type="dxa"/>
            <w:noWrap/>
            <w:hideMark/>
          </w:tcPr>
          <w:p w14:paraId="12C8395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27-Nov-19</w:t>
            </w:r>
          </w:p>
        </w:tc>
        <w:tc>
          <w:tcPr>
            <w:tcW w:w="5262" w:type="dxa"/>
            <w:noWrap/>
            <w:hideMark/>
          </w:tcPr>
          <w:p w14:paraId="264B97BE"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Neurodegenerative disease and metals</w:t>
            </w:r>
          </w:p>
        </w:tc>
        <w:tc>
          <w:tcPr>
            <w:tcW w:w="2083" w:type="dxa"/>
            <w:noWrap/>
            <w:hideMark/>
          </w:tcPr>
          <w:p w14:paraId="3D091A28"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213D4AF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Neurological</w:t>
            </w:r>
          </w:p>
        </w:tc>
        <w:tc>
          <w:tcPr>
            <w:tcW w:w="2835" w:type="dxa"/>
            <w:noWrap/>
            <w:hideMark/>
          </w:tcPr>
          <w:p w14:paraId="4771EF2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492DE736" w14:textId="77777777" w:rsidTr="009D3917">
        <w:trPr>
          <w:trHeight w:val="300"/>
        </w:trPr>
        <w:tc>
          <w:tcPr>
            <w:tcW w:w="552" w:type="dxa"/>
            <w:noWrap/>
            <w:hideMark/>
          </w:tcPr>
          <w:p w14:paraId="147BAA35"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7</w:t>
            </w:r>
          </w:p>
        </w:tc>
        <w:tc>
          <w:tcPr>
            <w:tcW w:w="1312" w:type="dxa"/>
            <w:noWrap/>
            <w:hideMark/>
          </w:tcPr>
          <w:p w14:paraId="673D7CC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28-Nov-19</w:t>
            </w:r>
          </w:p>
        </w:tc>
        <w:tc>
          <w:tcPr>
            <w:tcW w:w="5262" w:type="dxa"/>
            <w:noWrap/>
            <w:hideMark/>
          </w:tcPr>
          <w:p w14:paraId="3CE7FF96"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Severe Asthma: Mepolizumab</w:t>
            </w:r>
          </w:p>
        </w:tc>
        <w:tc>
          <w:tcPr>
            <w:tcW w:w="2083" w:type="dxa"/>
            <w:noWrap/>
            <w:hideMark/>
          </w:tcPr>
          <w:p w14:paraId="2B44E08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0C6770D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Respiratory</w:t>
            </w:r>
          </w:p>
        </w:tc>
        <w:tc>
          <w:tcPr>
            <w:tcW w:w="2835" w:type="dxa"/>
            <w:noWrap/>
            <w:hideMark/>
          </w:tcPr>
          <w:p w14:paraId="7761C0D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72BEB57C" w14:textId="77777777" w:rsidTr="009D3917">
        <w:trPr>
          <w:trHeight w:val="360"/>
        </w:trPr>
        <w:tc>
          <w:tcPr>
            <w:tcW w:w="552" w:type="dxa"/>
            <w:noWrap/>
            <w:hideMark/>
          </w:tcPr>
          <w:p w14:paraId="010BF077"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8</w:t>
            </w:r>
          </w:p>
        </w:tc>
        <w:tc>
          <w:tcPr>
            <w:tcW w:w="1312" w:type="dxa"/>
            <w:noWrap/>
            <w:hideMark/>
          </w:tcPr>
          <w:p w14:paraId="4214C3A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25-Feb-20</w:t>
            </w:r>
          </w:p>
        </w:tc>
        <w:tc>
          <w:tcPr>
            <w:tcW w:w="5262" w:type="dxa"/>
            <w:noWrap/>
            <w:hideMark/>
          </w:tcPr>
          <w:p w14:paraId="31A2768C"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Fetal Alcohol Spectrum Disorder</w:t>
            </w:r>
          </w:p>
        </w:tc>
        <w:tc>
          <w:tcPr>
            <w:tcW w:w="2083" w:type="dxa"/>
            <w:noWrap/>
            <w:hideMark/>
          </w:tcPr>
          <w:p w14:paraId="40AAA37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Public health</w:t>
            </w:r>
          </w:p>
        </w:tc>
        <w:tc>
          <w:tcPr>
            <w:tcW w:w="3260" w:type="dxa"/>
            <w:noWrap/>
            <w:hideMark/>
          </w:tcPr>
          <w:p w14:paraId="6D4EC8F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Congenital disorders</w:t>
            </w:r>
          </w:p>
        </w:tc>
        <w:tc>
          <w:tcPr>
            <w:tcW w:w="2835" w:type="dxa"/>
            <w:noWrap/>
            <w:hideMark/>
          </w:tcPr>
          <w:p w14:paraId="02800A9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First Nations people </w:t>
            </w:r>
          </w:p>
        </w:tc>
      </w:tr>
      <w:tr w:rsidR="009D3917" w:rsidRPr="00EC77DD" w14:paraId="1ADDB342" w14:textId="77777777" w:rsidTr="009D3917">
        <w:trPr>
          <w:trHeight w:val="300"/>
        </w:trPr>
        <w:tc>
          <w:tcPr>
            <w:tcW w:w="552" w:type="dxa"/>
            <w:noWrap/>
            <w:hideMark/>
          </w:tcPr>
          <w:p w14:paraId="19454911"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9</w:t>
            </w:r>
          </w:p>
        </w:tc>
        <w:tc>
          <w:tcPr>
            <w:tcW w:w="1312" w:type="dxa"/>
            <w:noWrap/>
            <w:hideMark/>
          </w:tcPr>
          <w:p w14:paraId="1210BDC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7-Apr-20</w:t>
            </w:r>
          </w:p>
        </w:tc>
        <w:tc>
          <w:tcPr>
            <w:tcW w:w="5262" w:type="dxa"/>
            <w:noWrap/>
            <w:hideMark/>
          </w:tcPr>
          <w:p w14:paraId="274C983D"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History of TB control in Australia</w:t>
            </w:r>
          </w:p>
        </w:tc>
        <w:tc>
          <w:tcPr>
            <w:tcW w:w="2083" w:type="dxa"/>
            <w:noWrap/>
            <w:hideMark/>
          </w:tcPr>
          <w:p w14:paraId="4079310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Public health</w:t>
            </w:r>
          </w:p>
        </w:tc>
        <w:tc>
          <w:tcPr>
            <w:tcW w:w="3260" w:type="dxa"/>
            <w:noWrap/>
            <w:hideMark/>
          </w:tcPr>
          <w:p w14:paraId="045BB83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Infection</w:t>
            </w:r>
          </w:p>
        </w:tc>
        <w:tc>
          <w:tcPr>
            <w:tcW w:w="2835" w:type="dxa"/>
            <w:noWrap/>
            <w:hideMark/>
          </w:tcPr>
          <w:p w14:paraId="4DB6A61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5E63D29F" w14:textId="77777777" w:rsidTr="009D3917">
        <w:trPr>
          <w:trHeight w:val="300"/>
        </w:trPr>
        <w:tc>
          <w:tcPr>
            <w:tcW w:w="552" w:type="dxa"/>
            <w:noWrap/>
            <w:hideMark/>
          </w:tcPr>
          <w:p w14:paraId="4632A3EC"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10</w:t>
            </w:r>
          </w:p>
        </w:tc>
        <w:tc>
          <w:tcPr>
            <w:tcW w:w="1312" w:type="dxa"/>
            <w:noWrap/>
            <w:hideMark/>
          </w:tcPr>
          <w:p w14:paraId="1FC7706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26-Jun-20</w:t>
            </w:r>
          </w:p>
        </w:tc>
        <w:tc>
          <w:tcPr>
            <w:tcW w:w="5262" w:type="dxa"/>
            <w:noWrap/>
            <w:hideMark/>
          </w:tcPr>
          <w:p w14:paraId="412ECBF8" w14:textId="36A8568B"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Women</w:t>
            </w:r>
            <w:r>
              <w:rPr>
                <w:rFonts w:ascii="Aptos Narrow" w:eastAsia="Times New Roman" w:hAnsi="Aptos Narrow"/>
                <w:b/>
                <w:bCs/>
                <w:color w:val="000000"/>
                <w:sz w:val="22"/>
                <w:szCs w:val="22"/>
              </w:rPr>
              <w:t>s’</w:t>
            </w:r>
            <w:r w:rsidRPr="00EC77DD">
              <w:rPr>
                <w:rFonts w:ascii="Aptos Narrow" w:eastAsia="Times New Roman" w:hAnsi="Aptos Narrow"/>
                <w:b/>
                <w:bCs/>
                <w:color w:val="000000"/>
                <w:sz w:val="22"/>
                <w:szCs w:val="22"/>
              </w:rPr>
              <w:t xml:space="preserve"> Reproductive Health (InterLACE)</w:t>
            </w:r>
          </w:p>
        </w:tc>
        <w:tc>
          <w:tcPr>
            <w:tcW w:w="2083" w:type="dxa"/>
            <w:noWrap/>
            <w:hideMark/>
          </w:tcPr>
          <w:p w14:paraId="3B53D2A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Knowledge</w:t>
            </w:r>
          </w:p>
        </w:tc>
        <w:tc>
          <w:tcPr>
            <w:tcW w:w="3260" w:type="dxa"/>
            <w:noWrap/>
            <w:hideMark/>
          </w:tcPr>
          <w:p w14:paraId="19C5C15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Reproductive health and childbirth</w:t>
            </w:r>
          </w:p>
        </w:tc>
        <w:tc>
          <w:tcPr>
            <w:tcW w:w="2835" w:type="dxa"/>
            <w:noWrap/>
            <w:hideMark/>
          </w:tcPr>
          <w:p w14:paraId="5296EA9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Women’s health </w:t>
            </w:r>
          </w:p>
        </w:tc>
      </w:tr>
      <w:tr w:rsidR="009D3917" w:rsidRPr="00EC77DD" w14:paraId="185C3404" w14:textId="77777777" w:rsidTr="009D3917">
        <w:trPr>
          <w:trHeight w:val="300"/>
        </w:trPr>
        <w:tc>
          <w:tcPr>
            <w:tcW w:w="552" w:type="dxa"/>
            <w:noWrap/>
            <w:hideMark/>
          </w:tcPr>
          <w:p w14:paraId="3693F91A"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11</w:t>
            </w:r>
          </w:p>
        </w:tc>
        <w:tc>
          <w:tcPr>
            <w:tcW w:w="1312" w:type="dxa"/>
            <w:noWrap/>
            <w:hideMark/>
          </w:tcPr>
          <w:p w14:paraId="65C81E0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26-Jun-20</w:t>
            </w:r>
          </w:p>
        </w:tc>
        <w:tc>
          <w:tcPr>
            <w:tcW w:w="5262" w:type="dxa"/>
            <w:noWrap/>
            <w:hideMark/>
          </w:tcPr>
          <w:p w14:paraId="4934EC9A" w14:textId="61C8E840"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Mothers</w:t>
            </w:r>
            <w:r>
              <w:rPr>
                <w:rFonts w:ascii="Aptos Narrow" w:eastAsia="Times New Roman" w:hAnsi="Aptos Narrow"/>
                <w:b/>
                <w:bCs/>
                <w:color w:val="000000"/>
                <w:sz w:val="22"/>
                <w:szCs w:val="22"/>
              </w:rPr>
              <w:t>’</w:t>
            </w:r>
            <w:r w:rsidRPr="00EC77DD">
              <w:rPr>
                <w:rFonts w:ascii="Aptos Narrow" w:eastAsia="Times New Roman" w:hAnsi="Aptos Narrow"/>
                <w:b/>
                <w:bCs/>
                <w:color w:val="000000"/>
                <w:sz w:val="22"/>
                <w:szCs w:val="22"/>
              </w:rPr>
              <w:t xml:space="preserve"> and their Children's Health (MatCH)</w:t>
            </w:r>
          </w:p>
        </w:tc>
        <w:tc>
          <w:tcPr>
            <w:tcW w:w="2083" w:type="dxa"/>
            <w:noWrap/>
            <w:hideMark/>
          </w:tcPr>
          <w:p w14:paraId="0E65A5A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Knowledge</w:t>
            </w:r>
          </w:p>
        </w:tc>
        <w:tc>
          <w:tcPr>
            <w:tcW w:w="3260" w:type="dxa"/>
            <w:noWrap/>
            <w:hideMark/>
          </w:tcPr>
          <w:p w14:paraId="6C913CC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Reproductive health and childbirth</w:t>
            </w:r>
          </w:p>
        </w:tc>
        <w:tc>
          <w:tcPr>
            <w:tcW w:w="2835" w:type="dxa"/>
            <w:noWrap/>
            <w:hideMark/>
          </w:tcPr>
          <w:p w14:paraId="1AD680B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Mothers &amp; babies </w:t>
            </w:r>
          </w:p>
        </w:tc>
      </w:tr>
      <w:tr w:rsidR="009D3917" w:rsidRPr="00EC77DD" w14:paraId="59BF11E5" w14:textId="77777777" w:rsidTr="009D3917">
        <w:trPr>
          <w:trHeight w:val="300"/>
        </w:trPr>
        <w:tc>
          <w:tcPr>
            <w:tcW w:w="552" w:type="dxa"/>
            <w:noWrap/>
            <w:hideMark/>
          </w:tcPr>
          <w:p w14:paraId="244444C9"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12</w:t>
            </w:r>
          </w:p>
        </w:tc>
        <w:tc>
          <w:tcPr>
            <w:tcW w:w="1312" w:type="dxa"/>
            <w:noWrap/>
            <w:hideMark/>
          </w:tcPr>
          <w:p w14:paraId="6A0FA9D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26-Aug-20</w:t>
            </w:r>
          </w:p>
        </w:tc>
        <w:tc>
          <w:tcPr>
            <w:tcW w:w="5262" w:type="dxa"/>
            <w:noWrap/>
            <w:hideMark/>
          </w:tcPr>
          <w:p w14:paraId="75F44AC4"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Tuberculosis control in the South-East Asian Region</w:t>
            </w:r>
          </w:p>
        </w:tc>
        <w:tc>
          <w:tcPr>
            <w:tcW w:w="2083" w:type="dxa"/>
            <w:noWrap/>
            <w:hideMark/>
          </w:tcPr>
          <w:p w14:paraId="37E525F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6CEEF3D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Infection</w:t>
            </w:r>
          </w:p>
        </w:tc>
        <w:tc>
          <w:tcPr>
            <w:tcW w:w="2835" w:type="dxa"/>
            <w:noWrap/>
            <w:hideMark/>
          </w:tcPr>
          <w:p w14:paraId="260E2B6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Rural &amp; remote Australians </w:t>
            </w:r>
          </w:p>
        </w:tc>
      </w:tr>
      <w:tr w:rsidR="009D3917" w:rsidRPr="00EC77DD" w14:paraId="483F3F31" w14:textId="77777777" w:rsidTr="009D3917">
        <w:trPr>
          <w:trHeight w:val="300"/>
        </w:trPr>
        <w:tc>
          <w:tcPr>
            <w:tcW w:w="552" w:type="dxa"/>
            <w:noWrap/>
            <w:hideMark/>
          </w:tcPr>
          <w:p w14:paraId="121E75C8"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13</w:t>
            </w:r>
          </w:p>
        </w:tc>
        <w:tc>
          <w:tcPr>
            <w:tcW w:w="1312" w:type="dxa"/>
            <w:noWrap/>
            <w:hideMark/>
          </w:tcPr>
          <w:p w14:paraId="3599293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16-Oct-20</w:t>
            </w:r>
          </w:p>
        </w:tc>
        <w:tc>
          <w:tcPr>
            <w:tcW w:w="5262" w:type="dxa"/>
            <w:noWrap/>
            <w:hideMark/>
          </w:tcPr>
          <w:p w14:paraId="4FCFC9BF"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Autism Assessment and Diagnosis Guidelines</w:t>
            </w:r>
          </w:p>
        </w:tc>
        <w:tc>
          <w:tcPr>
            <w:tcW w:w="2083" w:type="dxa"/>
            <w:noWrap/>
            <w:hideMark/>
          </w:tcPr>
          <w:p w14:paraId="717B944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2CF362B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Mental health</w:t>
            </w:r>
          </w:p>
        </w:tc>
        <w:tc>
          <w:tcPr>
            <w:tcW w:w="2835" w:type="dxa"/>
            <w:noWrap/>
            <w:hideMark/>
          </w:tcPr>
          <w:p w14:paraId="101F164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Children &amp; youth </w:t>
            </w:r>
          </w:p>
        </w:tc>
      </w:tr>
      <w:tr w:rsidR="009D3917" w:rsidRPr="00EC77DD" w14:paraId="2B15DFC4" w14:textId="77777777" w:rsidTr="009D3917">
        <w:trPr>
          <w:trHeight w:val="300"/>
        </w:trPr>
        <w:tc>
          <w:tcPr>
            <w:tcW w:w="552" w:type="dxa"/>
            <w:noWrap/>
            <w:hideMark/>
          </w:tcPr>
          <w:p w14:paraId="3D682952"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14</w:t>
            </w:r>
          </w:p>
        </w:tc>
        <w:tc>
          <w:tcPr>
            <w:tcW w:w="1312" w:type="dxa"/>
            <w:noWrap/>
            <w:hideMark/>
          </w:tcPr>
          <w:p w14:paraId="6006058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20-Nov-20</w:t>
            </w:r>
          </w:p>
        </w:tc>
        <w:tc>
          <w:tcPr>
            <w:tcW w:w="5262" w:type="dxa"/>
            <w:noWrap/>
            <w:hideMark/>
          </w:tcPr>
          <w:p w14:paraId="620FFF76"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Australian antivenom saving lives</w:t>
            </w:r>
          </w:p>
        </w:tc>
        <w:tc>
          <w:tcPr>
            <w:tcW w:w="2083" w:type="dxa"/>
            <w:noWrap/>
            <w:hideMark/>
          </w:tcPr>
          <w:p w14:paraId="1AC83AC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0E83566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Injuries and accidents</w:t>
            </w:r>
          </w:p>
        </w:tc>
        <w:tc>
          <w:tcPr>
            <w:tcW w:w="2835" w:type="dxa"/>
            <w:noWrap/>
            <w:hideMark/>
          </w:tcPr>
          <w:p w14:paraId="5F97A30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Rural &amp; remote Australians </w:t>
            </w:r>
          </w:p>
        </w:tc>
      </w:tr>
      <w:tr w:rsidR="009D3917" w:rsidRPr="00EC77DD" w14:paraId="6B2DDD42" w14:textId="77777777" w:rsidTr="009D3917">
        <w:trPr>
          <w:trHeight w:val="300"/>
        </w:trPr>
        <w:tc>
          <w:tcPr>
            <w:tcW w:w="552" w:type="dxa"/>
            <w:noWrap/>
            <w:hideMark/>
          </w:tcPr>
          <w:p w14:paraId="01363BF9"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15</w:t>
            </w:r>
          </w:p>
        </w:tc>
        <w:tc>
          <w:tcPr>
            <w:tcW w:w="1312" w:type="dxa"/>
            <w:noWrap/>
            <w:hideMark/>
          </w:tcPr>
          <w:p w14:paraId="18A763C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6-Jan-21</w:t>
            </w:r>
          </w:p>
        </w:tc>
        <w:tc>
          <w:tcPr>
            <w:tcW w:w="5262" w:type="dxa"/>
            <w:noWrap/>
            <w:hideMark/>
          </w:tcPr>
          <w:p w14:paraId="68AC669E"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Improving Health Outcomes in the Tropical North</w:t>
            </w:r>
          </w:p>
        </w:tc>
        <w:tc>
          <w:tcPr>
            <w:tcW w:w="2083" w:type="dxa"/>
            <w:noWrap/>
            <w:hideMark/>
          </w:tcPr>
          <w:p w14:paraId="38E9BB1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79BC257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Infection</w:t>
            </w:r>
          </w:p>
        </w:tc>
        <w:tc>
          <w:tcPr>
            <w:tcW w:w="2835" w:type="dxa"/>
            <w:noWrap/>
            <w:hideMark/>
          </w:tcPr>
          <w:p w14:paraId="41F74A6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First Nations people </w:t>
            </w:r>
          </w:p>
        </w:tc>
      </w:tr>
      <w:tr w:rsidR="009D3917" w:rsidRPr="00EC77DD" w14:paraId="15DB1E98" w14:textId="77777777" w:rsidTr="009D3917">
        <w:trPr>
          <w:trHeight w:val="300"/>
        </w:trPr>
        <w:tc>
          <w:tcPr>
            <w:tcW w:w="552" w:type="dxa"/>
            <w:noWrap/>
            <w:hideMark/>
          </w:tcPr>
          <w:p w14:paraId="598E0AEF"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16</w:t>
            </w:r>
          </w:p>
        </w:tc>
        <w:tc>
          <w:tcPr>
            <w:tcW w:w="1312" w:type="dxa"/>
            <w:noWrap/>
            <w:hideMark/>
          </w:tcPr>
          <w:p w14:paraId="39466AA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8-Jan-21</w:t>
            </w:r>
          </w:p>
        </w:tc>
        <w:tc>
          <w:tcPr>
            <w:tcW w:w="5262" w:type="dxa"/>
            <w:noWrap/>
            <w:hideMark/>
          </w:tcPr>
          <w:p w14:paraId="5D75B3B3"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Folate and healthy babies</w:t>
            </w:r>
          </w:p>
        </w:tc>
        <w:tc>
          <w:tcPr>
            <w:tcW w:w="2083" w:type="dxa"/>
            <w:noWrap/>
            <w:hideMark/>
          </w:tcPr>
          <w:p w14:paraId="077BB49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Public health</w:t>
            </w:r>
          </w:p>
        </w:tc>
        <w:tc>
          <w:tcPr>
            <w:tcW w:w="3260" w:type="dxa"/>
            <w:noWrap/>
            <w:hideMark/>
          </w:tcPr>
          <w:p w14:paraId="2FCCDC0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Congenital disorders</w:t>
            </w:r>
          </w:p>
        </w:tc>
        <w:tc>
          <w:tcPr>
            <w:tcW w:w="2835" w:type="dxa"/>
            <w:noWrap/>
            <w:hideMark/>
          </w:tcPr>
          <w:p w14:paraId="6121CF1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Mothers &amp; babies </w:t>
            </w:r>
          </w:p>
        </w:tc>
      </w:tr>
      <w:tr w:rsidR="009D3917" w:rsidRPr="00EC77DD" w14:paraId="71658ED2" w14:textId="77777777" w:rsidTr="009D3917">
        <w:trPr>
          <w:trHeight w:val="300"/>
        </w:trPr>
        <w:tc>
          <w:tcPr>
            <w:tcW w:w="552" w:type="dxa"/>
            <w:noWrap/>
            <w:hideMark/>
          </w:tcPr>
          <w:p w14:paraId="12317A79"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17</w:t>
            </w:r>
          </w:p>
        </w:tc>
        <w:tc>
          <w:tcPr>
            <w:tcW w:w="1312" w:type="dxa"/>
            <w:noWrap/>
            <w:hideMark/>
          </w:tcPr>
          <w:p w14:paraId="0F3431D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27-Apr-21</w:t>
            </w:r>
          </w:p>
        </w:tc>
        <w:tc>
          <w:tcPr>
            <w:tcW w:w="5262" w:type="dxa"/>
            <w:noWrap/>
            <w:hideMark/>
          </w:tcPr>
          <w:p w14:paraId="60692D05"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Influenza pandemics and their control</w:t>
            </w:r>
          </w:p>
        </w:tc>
        <w:tc>
          <w:tcPr>
            <w:tcW w:w="2083" w:type="dxa"/>
            <w:noWrap/>
            <w:hideMark/>
          </w:tcPr>
          <w:p w14:paraId="3DF0F4D4"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5FED44F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Infection</w:t>
            </w:r>
          </w:p>
        </w:tc>
        <w:tc>
          <w:tcPr>
            <w:tcW w:w="2835" w:type="dxa"/>
            <w:noWrap/>
            <w:hideMark/>
          </w:tcPr>
          <w:p w14:paraId="2C7B199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091C9277" w14:textId="77777777" w:rsidTr="009D3917">
        <w:trPr>
          <w:trHeight w:val="300"/>
        </w:trPr>
        <w:tc>
          <w:tcPr>
            <w:tcW w:w="552" w:type="dxa"/>
            <w:noWrap/>
            <w:hideMark/>
          </w:tcPr>
          <w:p w14:paraId="6024FF21"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18</w:t>
            </w:r>
          </w:p>
        </w:tc>
        <w:tc>
          <w:tcPr>
            <w:tcW w:w="1312" w:type="dxa"/>
            <w:noWrap/>
            <w:hideMark/>
          </w:tcPr>
          <w:p w14:paraId="065C841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13-May-21</w:t>
            </w:r>
          </w:p>
        </w:tc>
        <w:tc>
          <w:tcPr>
            <w:tcW w:w="5262" w:type="dxa"/>
            <w:noWrap/>
            <w:hideMark/>
          </w:tcPr>
          <w:p w14:paraId="2644E7F6"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Rubella and pregnancy</w:t>
            </w:r>
          </w:p>
        </w:tc>
        <w:tc>
          <w:tcPr>
            <w:tcW w:w="2083" w:type="dxa"/>
            <w:noWrap/>
            <w:hideMark/>
          </w:tcPr>
          <w:p w14:paraId="3C838E4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1DF5FF54"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Infection</w:t>
            </w:r>
          </w:p>
        </w:tc>
        <w:tc>
          <w:tcPr>
            <w:tcW w:w="2835" w:type="dxa"/>
            <w:noWrap/>
            <w:hideMark/>
          </w:tcPr>
          <w:p w14:paraId="0151029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Mothers &amp; babies </w:t>
            </w:r>
          </w:p>
        </w:tc>
      </w:tr>
      <w:tr w:rsidR="009D3917" w:rsidRPr="00EC77DD" w14:paraId="52C5DBED" w14:textId="77777777" w:rsidTr="009D3917">
        <w:trPr>
          <w:trHeight w:val="300"/>
        </w:trPr>
        <w:tc>
          <w:tcPr>
            <w:tcW w:w="552" w:type="dxa"/>
            <w:noWrap/>
            <w:hideMark/>
          </w:tcPr>
          <w:p w14:paraId="282B8286"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19</w:t>
            </w:r>
          </w:p>
        </w:tc>
        <w:tc>
          <w:tcPr>
            <w:tcW w:w="1312" w:type="dxa"/>
            <w:noWrap/>
            <w:hideMark/>
          </w:tcPr>
          <w:p w14:paraId="283B175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17-May-21</w:t>
            </w:r>
          </w:p>
        </w:tc>
        <w:tc>
          <w:tcPr>
            <w:tcW w:w="5262" w:type="dxa"/>
            <w:noWrap/>
            <w:hideMark/>
          </w:tcPr>
          <w:p w14:paraId="7DFC059A"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Health and national food standards</w:t>
            </w:r>
          </w:p>
        </w:tc>
        <w:tc>
          <w:tcPr>
            <w:tcW w:w="2083" w:type="dxa"/>
            <w:noWrap/>
            <w:hideMark/>
          </w:tcPr>
          <w:p w14:paraId="486FD55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Public health</w:t>
            </w:r>
          </w:p>
        </w:tc>
        <w:tc>
          <w:tcPr>
            <w:tcW w:w="3260" w:type="dxa"/>
            <w:noWrap/>
            <w:hideMark/>
          </w:tcPr>
          <w:p w14:paraId="05582FC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Generic health relevance</w:t>
            </w:r>
          </w:p>
        </w:tc>
        <w:tc>
          <w:tcPr>
            <w:tcW w:w="2835" w:type="dxa"/>
            <w:noWrap/>
            <w:hideMark/>
          </w:tcPr>
          <w:p w14:paraId="232D3EC8"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4EA985B2" w14:textId="77777777" w:rsidTr="009D3917">
        <w:trPr>
          <w:trHeight w:val="300"/>
        </w:trPr>
        <w:tc>
          <w:tcPr>
            <w:tcW w:w="552" w:type="dxa"/>
            <w:noWrap/>
            <w:hideMark/>
          </w:tcPr>
          <w:p w14:paraId="0B92E85F"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20</w:t>
            </w:r>
          </w:p>
        </w:tc>
        <w:tc>
          <w:tcPr>
            <w:tcW w:w="1312" w:type="dxa"/>
            <w:noWrap/>
            <w:hideMark/>
          </w:tcPr>
          <w:p w14:paraId="1DE92CC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9-Jul-21</w:t>
            </w:r>
          </w:p>
        </w:tc>
        <w:tc>
          <w:tcPr>
            <w:tcW w:w="5262" w:type="dxa"/>
            <w:noWrap/>
            <w:hideMark/>
          </w:tcPr>
          <w:p w14:paraId="156689FC"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Medical ultrasound</w:t>
            </w:r>
          </w:p>
        </w:tc>
        <w:tc>
          <w:tcPr>
            <w:tcW w:w="2083" w:type="dxa"/>
            <w:noWrap/>
            <w:hideMark/>
          </w:tcPr>
          <w:p w14:paraId="19C83FE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Device</w:t>
            </w:r>
          </w:p>
        </w:tc>
        <w:tc>
          <w:tcPr>
            <w:tcW w:w="3260" w:type="dxa"/>
            <w:noWrap/>
            <w:hideMark/>
          </w:tcPr>
          <w:p w14:paraId="3248FD2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Reproductive health and childbirth</w:t>
            </w:r>
          </w:p>
        </w:tc>
        <w:tc>
          <w:tcPr>
            <w:tcW w:w="2835" w:type="dxa"/>
            <w:noWrap/>
            <w:hideMark/>
          </w:tcPr>
          <w:p w14:paraId="35239DE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Mothers &amp; babies </w:t>
            </w:r>
          </w:p>
        </w:tc>
      </w:tr>
      <w:tr w:rsidR="009D3917" w:rsidRPr="00EC77DD" w14:paraId="08D8F02C" w14:textId="77777777" w:rsidTr="009D3917">
        <w:trPr>
          <w:trHeight w:val="300"/>
        </w:trPr>
        <w:tc>
          <w:tcPr>
            <w:tcW w:w="552" w:type="dxa"/>
            <w:noWrap/>
            <w:hideMark/>
          </w:tcPr>
          <w:p w14:paraId="587ACCDD"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lastRenderedPageBreak/>
              <w:t>21</w:t>
            </w:r>
          </w:p>
        </w:tc>
        <w:tc>
          <w:tcPr>
            <w:tcW w:w="1312" w:type="dxa"/>
            <w:noWrap/>
            <w:hideMark/>
          </w:tcPr>
          <w:p w14:paraId="7A1213E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16-Jul-21</w:t>
            </w:r>
          </w:p>
        </w:tc>
        <w:tc>
          <w:tcPr>
            <w:tcW w:w="5262" w:type="dxa"/>
            <w:noWrap/>
            <w:hideMark/>
          </w:tcPr>
          <w:p w14:paraId="229241B0" w14:textId="77777777" w:rsidR="009D3917" w:rsidRPr="00EC77DD" w:rsidRDefault="009D3917" w:rsidP="00EC77DD">
            <w:pPr>
              <w:spacing w:before="0" w:after="0" w:line="240" w:lineRule="auto"/>
              <w:rPr>
                <w:rFonts w:ascii="Aptos Narrow" w:eastAsia="Times New Roman" w:hAnsi="Aptos Narrow"/>
                <w:b/>
                <w:bCs/>
                <w:color w:val="auto"/>
                <w:sz w:val="22"/>
                <w:szCs w:val="22"/>
              </w:rPr>
            </w:pPr>
            <w:r w:rsidRPr="00EC77DD">
              <w:rPr>
                <w:rFonts w:ascii="Aptos Narrow" w:eastAsia="Times New Roman" w:hAnsi="Aptos Narrow"/>
                <w:b/>
                <w:bCs/>
                <w:color w:val="auto"/>
                <w:sz w:val="22"/>
                <w:szCs w:val="22"/>
              </w:rPr>
              <w:t>Indigenous children's oral health</w:t>
            </w:r>
          </w:p>
        </w:tc>
        <w:tc>
          <w:tcPr>
            <w:tcW w:w="2083" w:type="dxa"/>
            <w:noWrap/>
            <w:hideMark/>
          </w:tcPr>
          <w:p w14:paraId="5FEEBC6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64BE8F7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Oral and gastrointestinal</w:t>
            </w:r>
          </w:p>
        </w:tc>
        <w:tc>
          <w:tcPr>
            <w:tcW w:w="2835" w:type="dxa"/>
            <w:noWrap/>
            <w:hideMark/>
          </w:tcPr>
          <w:p w14:paraId="7D93809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First Nations people </w:t>
            </w:r>
          </w:p>
        </w:tc>
      </w:tr>
      <w:tr w:rsidR="009D3917" w:rsidRPr="00EC77DD" w14:paraId="4AF87105" w14:textId="77777777" w:rsidTr="009D3917">
        <w:trPr>
          <w:trHeight w:val="300"/>
        </w:trPr>
        <w:tc>
          <w:tcPr>
            <w:tcW w:w="552" w:type="dxa"/>
            <w:noWrap/>
            <w:hideMark/>
          </w:tcPr>
          <w:p w14:paraId="05827B50"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22</w:t>
            </w:r>
          </w:p>
        </w:tc>
        <w:tc>
          <w:tcPr>
            <w:tcW w:w="1312" w:type="dxa"/>
            <w:noWrap/>
            <w:hideMark/>
          </w:tcPr>
          <w:p w14:paraId="79C16FC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30-Jul-21</w:t>
            </w:r>
          </w:p>
        </w:tc>
        <w:tc>
          <w:tcPr>
            <w:tcW w:w="5262" w:type="dxa"/>
            <w:noWrap/>
            <w:hideMark/>
          </w:tcPr>
          <w:p w14:paraId="0CEAC6BF"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Helping GPs care for our mental health</w:t>
            </w:r>
          </w:p>
        </w:tc>
        <w:tc>
          <w:tcPr>
            <w:tcW w:w="2083" w:type="dxa"/>
            <w:noWrap/>
            <w:hideMark/>
          </w:tcPr>
          <w:p w14:paraId="25D7349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4C08C52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Mental health</w:t>
            </w:r>
          </w:p>
        </w:tc>
        <w:tc>
          <w:tcPr>
            <w:tcW w:w="2835" w:type="dxa"/>
            <w:noWrap/>
            <w:hideMark/>
          </w:tcPr>
          <w:p w14:paraId="0780CD54"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52759915" w14:textId="77777777" w:rsidTr="009D3917">
        <w:trPr>
          <w:trHeight w:val="300"/>
        </w:trPr>
        <w:tc>
          <w:tcPr>
            <w:tcW w:w="552" w:type="dxa"/>
            <w:noWrap/>
            <w:hideMark/>
          </w:tcPr>
          <w:p w14:paraId="3814B45E"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23</w:t>
            </w:r>
          </w:p>
        </w:tc>
        <w:tc>
          <w:tcPr>
            <w:tcW w:w="1312" w:type="dxa"/>
            <w:noWrap/>
            <w:hideMark/>
          </w:tcPr>
          <w:p w14:paraId="0D58550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20-Aug-21</w:t>
            </w:r>
          </w:p>
        </w:tc>
        <w:tc>
          <w:tcPr>
            <w:tcW w:w="5262" w:type="dxa"/>
            <w:noWrap/>
            <w:hideMark/>
          </w:tcPr>
          <w:p w14:paraId="10C320C6"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Reducing speed, improving safety</w:t>
            </w:r>
          </w:p>
        </w:tc>
        <w:tc>
          <w:tcPr>
            <w:tcW w:w="2083" w:type="dxa"/>
            <w:noWrap/>
            <w:hideMark/>
          </w:tcPr>
          <w:p w14:paraId="28CD11F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Public health</w:t>
            </w:r>
          </w:p>
        </w:tc>
        <w:tc>
          <w:tcPr>
            <w:tcW w:w="3260" w:type="dxa"/>
            <w:noWrap/>
            <w:hideMark/>
          </w:tcPr>
          <w:p w14:paraId="5E37EA6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Injuries and accidents</w:t>
            </w:r>
          </w:p>
        </w:tc>
        <w:tc>
          <w:tcPr>
            <w:tcW w:w="2835" w:type="dxa"/>
            <w:noWrap/>
            <w:hideMark/>
          </w:tcPr>
          <w:p w14:paraId="2227726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7B120990" w14:textId="77777777" w:rsidTr="009D3917">
        <w:trPr>
          <w:trHeight w:val="300"/>
        </w:trPr>
        <w:tc>
          <w:tcPr>
            <w:tcW w:w="552" w:type="dxa"/>
            <w:noWrap/>
            <w:hideMark/>
          </w:tcPr>
          <w:p w14:paraId="047E9FB6"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24</w:t>
            </w:r>
          </w:p>
        </w:tc>
        <w:tc>
          <w:tcPr>
            <w:tcW w:w="1312" w:type="dxa"/>
            <w:noWrap/>
            <w:hideMark/>
          </w:tcPr>
          <w:p w14:paraId="08C1BDD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24-Sep-21</w:t>
            </w:r>
          </w:p>
        </w:tc>
        <w:tc>
          <w:tcPr>
            <w:tcW w:w="5262" w:type="dxa"/>
            <w:noWrap/>
            <w:hideMark/>
          </w:tcPr>
          <w:p w14:paraId="0B9DC2B2"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Personalised Immunology</w:t>
            </w:r>
          </w:p>
        </w:tc>
        <w:tc>
          <w:tcPr>
            <w:tcW w:w="2083" w:type="dxa"/>
            <w:noWrap/>
            <w:hideMark/>
          </w:tcPr>
          <w:p w14:paraId="3E42E05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26A5FE0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Inflammatory and immune system</w:t>
            </w:r>
          </w:p>
        </w:tc>
        <w:tc>
          <w:tcPr>
            <w:tcW w:w="2835" w:type="dxa"/>
            <w:noWrap/>
            <w:hideMark/>
          </w:tcPr>
          <w:p w14:paraId="490EBC1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Women’s health </w:t>
            </w:r>
          </w:p>
        </w:tc>
      </w:tr>
      <w:tr w:rsidR="009D3917" w:rsidRPr="00EC77DD" w14:paraId="39242E01" w14:textId="77777777" w:rsidTr="009D3917">
        <w:trPr>
          <w:trHeight w:val="300"/>
        </w:trPr>
        <w:tc>
          <w:tcPr>
            <w:tcW w:w="552" w:type="dxa"/>
            <w:noWrap/>
            <w:hideMark/>
          </w:tcPr>
          <w:p w14:paraId="7E05E294"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25</w:t>
            </w:r>
          </w:p>
        </w:tc>
        <w:tc>
          <w:tcPr>
            <w:tcW w:w="1312" w:type="dxa"/>
            <w:noWrap/>
            <w:hideMark/>
          </w:tcPr>
          <w:p w14:paraId="42D23EF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17-Dec-21</w:t>
            </w:r>
          </w:p>
        </w:tc>
        <w:tc>
          <w:tcPr>
            <w:tcW w:w="5262" w:type="dxa"/>
            <w:noWrap/>
            <w:hideMark/>
          </w:tcPr>
          <w:p w14:paraId="16C6D65D"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A revolution in protein sequencing</w:t>
            </w:r>
          </w:p>
        </w:tc>
        <w:tc>
          <w:tcPr>
            <w:tcW w:w="2083" w:type="dxa"/>
            <w:noWrap/>
            <w:hideMark/>
          </w:tcPr>
          <w:p w14:paraId="651A639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Device</w:t>
            </w:r>
          </w:p>
        </w:tc>
        <w:tc>
          <w:tcPr>
            <w:tcW w:w="3260" w:type="dxa"/>
            <w:noWrap/>
            <w:hideMark/>
          </w:tcPr>
          <w:p w14:paraId="406B350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Generic health relevance</w:t>
            </w:r>
          </w:p>
        </w:tc>
        <w:tc>
          <w:tcPr>
            <w:tcW w:w="2835" w:type="dxa"/>
            <w:noWrap/>
            <w:hideMark/>
          </w:tcPr>
          <w:p w14:paraId="6BDD341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273DB996" w14:textId="77777777" w:rsidTr="009D3917">
        <w:trPr>
          <w:trHeight w:val="300"/>
        </w:trPr>
        <w:tc>
          <w:tcPr>
            <w:tcW w:w="552" w:type="dxa"/>
            <w:noWrap/>
            <w:hideMark/>
          </w:tcPr>
          <w:p w14:paraId="3C05A678"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26</w:t>
            </w:r>
          </w:p>
        </w:tc>
        <w:tc>
          <w:tcPr>
            <w:tcW w:w="1312" w:type="dxa"/>
            <w:noWrap/>
            <w:hideMark/>
          </w:tcPr>
          <w:p w14:paraId="3FD015B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24-Dec-21</w:t>
            </w:r>
          </w:p>
        </w:tc>
        <w:tc>
          <w:tcPr>
            <w:tcW w:w="5262" w:type="dxa"/>
            <w:noWrap/>
            <w:hideMark/>
          </w:tcPr>
          <w:p w14:paraId="2CDE22AA"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Saving blood, saving lives</w:t>
            </w:r>
          </w:p>
        </w:tc>
        <w:tc>
          <w:tcPr>
            <w:tcW w:w="2083" w:type="dxa"/>
            <w:noWrap/>
            <w:hideMark/>
          </w:tcPr>
          <w:p w14:paraId="60E4A008"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3DDC4FA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Blood</w:t>
            </w:r>
          </w:p>
        </w:tc>
        <w:tc>
          <w:tcPr>
            <w:tcW w:w="2835" w:type="dxa"/>
            <w:noWrap/>
            <w:hideMark/>
          </w:tcPr>
          <w:p w14:paraId="47E8F0C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1202FBFB" w14:textId="77777777" w:rsidTr="009D3917">
        <w:trPr>
          <w:trHeight w:val="300"/>
        </w:trPr>
        <w:tc>
          <w:tcPr>
            <w:tcW w:w="552" w:type="dxa"/>
            <w:noWrap/>
            <w:hideMark/>
          </w:tcPr>
          <w:p w14:paraId="0605703C"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27</w:t>
            </w:r>
          </w:p>
        </w:tc>
        <w:tc>
          <w:tcPr>
            <w:tcW w:w="1312" w:type="dxa"/>
            <w:noWrap/>
            <w:hideMark/>
          </w:tcPr>
          <w:p w14:paraId="19AF5EE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17-Mar-22</w:t>
            </w:r>
          </w:p>
        </w:tc>
        <w:tc>
          <w:tcPr>
            <w:tcW w:w="5262" w:type="dxa"/>
            <w:noWrap/>
            <w:hideMark/>
          </w:tcPr>
          <w:p w14:paraId="77D7903D"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A safer infant sleeping position</w:t>
            </w:r>
          </w:p>
        </w:tc>
        <w:tc>
          <w:tcPr>
            <w:tcW w:w="2083" w:type="dxa"/>
            <w:noWrap/>
            <w:hideMark/>
          </w:tcPr>
          <w:p w14:paraId="23C55E5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Public health</w:t>
            </w:r>
          </w:p>
        </w:tc>
        <w:tc>
          <w:tcPr>
            <w:tcW w:w="3260" w:type="dxa"/>
            <w:noWrap/>
            <w:hideMark/>
          </w:tcPr>
          <w:p w14:paraId="65C0CB8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Respiratory</w:t>
            </w:r>
          </w:p>
        </w:tc>
        <w:tc>
          <w:tcPr>
            <w:tcW w:w="2835" w:type="dxa"/>
            <w:noWrap/>
            <w:hideMark/>
          </w:tcPr>
          <w:p w14:paraId="304DD6E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Mothers &amp; babies </w:t>
            </w:r>
          </w:p>
        </w:tc>
      </w:tr>
      <w:tr w:rsidR="009D3917" w:rsidRPr="00EC77DD" w14:paraId="46132554" w14:textId="77777777" w:rsidTr="009D3917">
        <w:trPr>
          <w:trHeight w:val="300"/>
        </w:trPr>
        <w:tc>
          <w:tcPr>
            <w:tcW w:w="552" w:type="dxa"/>
            <w:noWrap/>
            <w:hideMark/>
          </w:tcPr>
          <w:p w14:paraId="17898AD4"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28</w:t>
            </w:r>
          </w:p>
        </w:tc>
        <w:tc>
          <w:tcPr>
            <w:tcW w:w="1312" w:type="dxa"/>
            <w:noWrap/>
            <w:hideMark/>
          </w:tcPr>
          <w:p w14:paraId="129F94C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8-Apr-22</w:t>
            </w:r>
          </w:p>
        </w:tc>
        <w:tc>
          <w:tcPr>
            <w:tcW w:w="5262" w:type="dxa"/>
            <w:noWrap/>
            <w:hideMark/>
          </w:tcPr>
          <w:p w14:paraId="0F1C2F47"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MoodGYM</w:t>
            </w:r>
          </w:p>
        </w:tc>
        <w:tc>
          <w:tcPr>
            <w:tcW w:w="2083" w:type="dxa"/>
            <w:noWrap/>
            <w:hideMark/>
          </w:tcPr>
          <w:p w14:paraId="474E701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272FE0A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Mental health</w:t>
            </w:r>
          </w:p>
        </w:tc>
        <w:tc>
          <w:tcPr>
            <w:tcW w:w="2835" w:type="dxa"/>
            <w:noWrap/>
            <w:hideMark/>
          </w:tcPr>
          <w:p w14:paraId="72CA318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Children &amp; youth </w:t>
            </w:r>
          </w:p>
        </w:tc>
      </w:tr>
      <w:tr w:rsidR="009D3917" w:rsidRPr="00EC77DD" w14:paraId="5FD3349B" w14:textId="77777777" w:rsidTr="009D3917">
        <w:trPr>
          <w:trHeight w:val="300"/>
        </w:trPr>
        <w:tc>
          <w:tcPr>
            <w:tcW w:w="552" w:type="dxa"/>
            <w:noWrap/>
            <w:hideMark/>
          </w:tcPr>
          <w:p w14:paraId="678BD8D0"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29</w:t>
            </w:r>
          </w:p>
        </w:tc>
        <w:tc>
          <w:tcPr>
            <w:tcW w:w="1312" w:type="dxa"/>
            <w:noWrap/>
            <w:hideMark/>
          </w:tcPr>
          <w:p w14:paraId="7B098078"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11-Apr-22</w:t>
            </w:r>
          </w:p>
        </w:tc>
        <w:tc>
          <w:tcPr>
            <w:tcW w:w="5262" w:type="dxa"/>
            <w:noWrap/>
            <w:hideMark/>
          </w:tcPr>
          <w:p w14:paraId="369284CA"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Improving Fertility</w:t>
            </w:r>
          </w:p>
        </w:tc>
        <w:tc>
          <w:tcPr>
            <w:tcW w:w="2083" w:type="dxa"/>
            <w:noWrap/>
            <w:hideMark/>
          </w:tcPr>
          <w:p w14:paraId="2DFD035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5E75DEC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Reproductive health and childbirth</w:t>
            </w:r>
          </w:p>
        </w:tc>
        <w:tc>
          <w:tcPr>
            <w:tcW w:w="2835" w:type="dxa"/>
            <w:noWrap/>
            <w:hideMark/>
          </w:tcPr>
          <w:p w14:paraId="6AF108C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Women’s health </w:t>
            </w:r>
          </w:p>
        </w:tc>
      </w:tr>
      <w:tr w:rsidR="009D3917" w:rsidRPr="00EC77DD" w14:paraId="03884A34" w14:textId="77777777" w:rsidTr="009D3917">
        <w:trPr>
          <w:trHeight w:val="300"/>
        </w:trPr>
        <w:tc>
          <w:tcPr>
            <w:tcW w:w="552" w:type="dxa"/>
            <w:noWrap/>
            <w:hideMark/>
          </w:tcPr>
          <w:p w14:paraId="44961811"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30</w:t>
            </w:r>
          </w:p>
        </w:tc>
        <w:tc>
          <w:tcPr>
            <w:tcW w:w="1312" w:type="dxa"/>
            <w:noWrap/>
            <w:hideMark/>
          </w:tcPr>
          <w:p w14:paraId="4D26246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4-May-22</w:t>
            </w:r>
          </w:p>
        </w:tc>
        <w:tc>
          <w:tcPr>
            <w:tcW w:w="5262" w:type="dxa"/>
            <w:noWrap/>
            <w:hideMark/>
          </w:tcPr>
          <w:p w14:paraId="4B4EA622"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The cochlear implant restores hearing</w:t>
            </w:r>
          </w:p>
        </w:tc>
        <w:tc>
          <w:tcPr>
            <w:tcW w:w="2083" w:type="dxa"/>
            <w:noWrap/>
            <w:hideMark/>
          </w:tcPr>
          <w:p w14:paraId="23483AB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Device</w:t>
            </w:r>
          </w:p>
        </w:tc>
        <w:tc>
          <w:tcPr>
            <w:tcW w:w="3260" w:type="dxa"/>
            <w:noWrap/>
            <w:hideMark/>
          </w:tcPr>
          <w:p w14:paraId="250192E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Ear</w:t>
            </w:r>
          </w:p>
        </w:tc>
        <w:tc>
          <w:tcPr>
            <w:tcW w:w="2835" w:type="dxa"/>
            <w:noWrap/>
            <w:hideMark/>
          </w:tcPr>
          <w:p w14:paraId="486DEE54"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People with disability </w:t>
            </w:r>
          </w:p>
        </w:tc>
      </w:tr>
      <w:tr w:rsidR="009D3917" w:rsidRPr="00EC77DD" w14:paraId="55F4A4F7" w14:textId="77777777" w:rsidTr="009D3917">
        <w:trPr>
          <w:trHeight w:val="300"/>
        </w:trPr>
        <w:tc>
          <w:tcPr>
            <w:tcW w:w="552" w:type="dxa"/>
            <w:noWrap/>
            <w:hideMark/>
          </w:tcPr>
          <w:p w14:paraId="1E9351C2"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31</w:t>
            </w:r>
          </w:p>
        </w:tc>
        <w:tc>
          <w:tcPr>
            <w:tcW w:w="1312" w:type="dxa"/>
            <w:noWrap/>
            <w:hideMark/>
          </w:tcPr>
          <w:p w14:paraId="14B4410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1-Jul-22</w:t>
            </w:r>
          </w:p>
        </w:tc>
        <w:tc>
          <w:tcPr>
            <w:tcW w:w="5262" w:type="dxa"/>
            <w:noWrap/>
            <w:hideMark/>
          </w:tcPr>
          <w:p w14:paraId="622FF3FF"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Improving insulin delivery</w:t>
            </w:r>
          </w:p>
        </w:tc>
        <w:tc>
          <w:tcPr>
            <w:tcW w:w="2083" w:type="dxa"/>
            <w:noWrap/>
            <w:hideMark/>
          </w:tcPr>
          <w:p w14:paraId="64B075E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60A7C07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Metabolic and Endocrine</w:t>
            </w:r>
          </w:p>
        </w:tc>
        <w:tc>
          <w:tcPr>
            <w:tcW w:w="2835" w:type="dxa"/>
            <w:noWrap/>
            <w:hideMark/>
          </w:tcPr>
          <w:p w14:paraId="1E903D4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Children &amp; youth </w:t>
            </w:r>
          </w:p>
        </w:tc>
      </w:tr>
      <w:tr w:rsidR="009D3917" w:rsidRPr="00EC77DD" w14:paraId="7BB048A3" w14:textId="77777777" w:rsidTr="009D3917">
        <w:trPr>
          <w:trHeight w:val="300"/>
        </w:trPr>
        <w:tc>
          <w:tcPr>
            <w:tcW w:w="552" w:type="dxa"/>
            <w:noWrap/>
            <w:hideMark/>
          </w:tcPr>
          <w:p w14:paraId="256971DF"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32</w:t>
            </w:r>
          </w:p>
        </w:tc>
        <w:tc>
          <w:tcPr>
            <w:tcW w:w="1312" w:type="dxa"/>
            <w:noWrap/>
            <w:hideMark/>
          </w:tcPr>
          <w:p w14:paraId="59423F3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1-Jul-22</w:t>
            </w:r>
          </w:p>
        </w:tc>
        <w:tc>
          <w:tcPr>
            <w:tcW w:w="5262" w:type="dxa"/>
            <w:noWrap/>
            <w:hideMark/>
          </w:tcPr>
          <w:p w14:paraId="5D7F2A11"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Safer birthing for First Nations families</w:t>
            </w:r>
          </w:p>
        </w:tc>
        <w:tc>
          <w:tcPr>
            <w:tcW w:w="2083" w:type="dxa"/>
            <w:noWrap/>
            <w:hideMark/>
          </w:tcPr>
          <w:p w14:paraId="727DC44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5DDF225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Reproductive health and childbirth</w:t>
            </w:r>
          </w:p>
        </w:tc>
        <w:tc>
          <w:tcPr>
            <w:tcW w:w="2835" w:type="dxa"/>
            <w:noWrap/>
            <w:hideMark/>
          </w:tcPr>
          <w:p w14:paraId="54365CD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First Nations people </w:t>
            </w:r>
          </w:p>
        </w:tc>
      </w:tr>
      <w:tr w:rsidR="009D3917" w:rsidRPr="00EC77DD" w14:paraId="3AE36B36" w14:textId="77777777" w:rsidTr="009D3917">
        <w:trPr>
          <w:trHeight w:val="300"/>
        </w:trPr>
        <w:tc>
          <w:tcPr>
            <w:tcW w:w="552" w:type="dxa"/>
            <w:noWrap/>
            <w:hideMark/>
          </w:tcPr>
          <w:p w14:paraId="34DF823D"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33</w:t>
            </w:r>
          </w:p>
        </w:tc>
        <w:tc>
          <w:tcPr>
            <w:tcW w:w="1312" w:type="dxa"/>
            <w:noWrap/>
            <w:hideMark/>
          </w:tcPr>
          <w:p w14:paraId="7D941CB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27-Oct-22</w:t>
            </w:r>
          </w:p>
        </w:tc>
        <w:tc>
          <w:tcPr>
            <w:tcW w:w="5262" w:type="dxa"/>
            <w:noWrap/>
            <w:hideMark/>
          </w:tcPr>
          <w:p w14:paraId="361ED8BF"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Two types of diabetes</w:t>
            </w:r>
          </w:p>
        </w:tc>
        <w:tc>
          <w:tcPr>
            <w:tcW w:w="2083" w:type="dxa"/>
            <w:noWrap/>
            <w:hideMark/>
          </w:tcPr>
          <w:p w14:paraId="586DF4D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Knowledge</w:t>
            </w:r>
          </w:p>
        </w:tc>
        <w:tc>
          <w:tcPr>
            <w:tcW w:w="3260" w:type="dxa"/>
            <w:noWrap/>
            <w:hideMark/>
          </w:tcPr>
          <w:p w14:paraId="0D56098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Metabolic and Endocrine</w:t>
            </w:r>
          </w:p>
        </w:tc>
        <w:tc>
          <w:tcPr>
            <w:tcW w:w="2835" w:type="dxa"/>
            <w:noWrap/>
            <w:hideMark/>
          </w:tcPr>
          <w:p w14:paraId="38B8A02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2D1531D2" w14:textId="77777777" w:rsidTr="009D3917">
        <w:trPr>
          <w:trHeight w:val="300"/>
        </w:trPr>
        <w:tc>
          <w:tcPr>
            <w:tcW w:w="552" w:type="dxa"/>
            <w:noWrap/>
            <w:hideMark/>
          </w:tcPr>
          <w:p w14:paraId="4194BE53"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34</w:t>
            </w:r>
          </w:p>
        </w:tc>
        <w:tc>
          <w:tcPr>
            <w:tcW w:w="1312" w:type="dxa"/>
            <w:noWrap/>
            <w:hideMark/>
          </w:tcPr>
          <w:p w14:paraId="025654F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4-Nov-22</w:t>
            </w:r>
          </w:p>
        </w:tc>
        <w:tc>
          <w:tcPr>
            <w:tcW w:w="5262" w:type="dxa"/>
            <w:noWrap/>
            <w:hideMark/>
          </w:tcPr>
          <w:p w14:paraId="45054C69"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Breathing easier during sleep</w:t>
            </w:r>
          </w:p>
        </w:tc>
        <w:tc>
          <w:tcPr>
            <w:tcW w:w="2083" w:type="dxa"/>
            <w:noWrap/>
            <w:hideMark/>
          </w:tcPr>
          <w:p w14:paraId="77512E1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Device</w:t>
            </w:r>
          </w:p>
        </w:tc>
        <w:tc>
          <w:tcPr>
            <w:tcW w:w="3260" w:type="dxa"/>
            <w:noWrap/>
            <w:hideMark/>
          </w:tcPr>
          <w:p w14:paraId="0061FFF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Respiratory</w:t>
            </w:r>
          </w:p>
        </w:tc>
        <w:tc>
          <w:tcPr>
            <w:tcW w:w="2835" w:type="dxa"/>
            <w:noWrap/>
            <w:hideMark/>
          </w:tcPr>
          <w:p w14:paraId="4AA4CDC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Men’s health </w:t>
            </w:r>
          </w:p>
        </w:tc>
      </w:tr>
      <w:tr w:rsidR="009D3917" w:rsidRPr="00EC77DD" w14:paraId="23F4A8BE" w14:textId="77777777" w:rsidTr="009D3917">
        <w:trPr>
          <w:trHeight w:val="300"/>
        </w:trPr>
        <w:tc>
          <w:tcPr>
            <w:tcW w:w="552" w:type="dxa"/>
            <w:noWrap/>
            <w:hideMark/>
          </w:tcPr>
          <w:p w14:paraId="2125207B"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35</w:t>
            </w:r>
          </w:p>
        </w:tc>
        <w:tc>
          <w:tcPr>
            <w:tcW w:w="1312" w:type="dxa"/>
            <w:noWrap/>
            <w:hideMark/>
          </w:tcPr>
          <w:p w14:paraId="285BC45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7-Nov-22</w:t>
            </w:r>
          </w:p>
        </w:tc>
        <w:tc>
          <w:tcPr>
            <w:tcW w:w="5262" w:type="dxa"/>
            <w:noWrap/>
            <w:hideMark/>
          </w:tcPr>
          <w:p w14:paraId="6387CCD0"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Insulin resistance, insulin action</w:t>
            </w:r>
          </w:p>
        </w:tc>
        <w:tc>
          <w:tcPr>
            <w:tcW w:w="2083" w:type="dxa"/>
            <w:noWrap/>
            <w:hideMark/>
          </w:tcPr>
          <w:p w14:paraId="6BC942E4"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2318244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Metabolic and Endocrine</w:t>
            </w:r>
          </w:p>
        </w:tc>
        <w:tc>
          <w:tcPr>
            <w:tcW w:w="2835" w:type="dxa"/>
            <w:noWrap/>
            <w:hideMark/>
          </w:tcPr>
          <w:p w14:paraId="7034B6F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7DC28DC5" w14:textId="77777777" w:rsidTr="009D3917">
        <w:trPr>
          <w:trHeight w:val="300"/>
        </w:trPr>
        <w:tc>
          <w:tcPr>
            <w:tcW w:w="552" w:type="dxa"/>
            <w:noWrap/>
            <w:hideMark/>
          </w:tcPr>
          <w:p w14:paraId="7BFA57B6"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36</w:t>
            </w:r>
          </w:p>
        </w:tc>
        <w:tc>
          <w:tcPr>
            <w:tcW w:w="1312" w:type="dxa"/>
            <w:noWrap/>
            <w:hideMark/>
          </w:tcPr>
          <w:p w14:paraId="4E03E76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8-Feb-23</w:t>
            </w:r>
          </w:p>
        </w:tc>
        <w:tc>
          <w:tcPr>
            <w:tcW w:w="5262" w:type="dxa"/>
            <w:noWrap/>
            <w:hideMark/>
          </w:tcPr>
          <w:p w14:paraId="06D0ADFD"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Protecting against hepatitis</w:t>
            </w:r>
          </w:p>
        </w:tc>
        <w:tc>
          <w:tcPr>
            <w:tcW w:w="2083" w:type="dxa"/>
            <w:noWrap/>
            <w:hideMark/>
          </w:tcPr>
          <w:p w14:paraId="0EAF816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7E04129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Infection</w:t>
            </w:r>
          </w:p>
        </w:tc>
        <w:tc>
          <w:tcPr>
            <w:tcW w:w="2835" w:type="dxa"/>
            <w:noWrap/>
            <w:hideMark/>
          </w:tcPr>
          <w:p w14:paraId="7D4B658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LGBTIQ+ communities </w:t>
            </w:r>
          </w:p>
        </w:tc>
      </w:tr>
      <w:tr w:rsidR="009D3917" w:rsidRPr="00EC77DD" w14:paraId="27D09139" w14:textId="77777777" w:rsidTr="009D3917">
        <w:trPr>
          <w:trHeight w:val="315"/>
        </w:trPr>
        <w:tc>
          <w:tcPr>
            <w:tcW w:w="552" w:type="dxa"/>
            <w:noWrap/>
            <w:hideMark/>
          </w:tcPr>
          <w:p w14:paraId="2BC5C883"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37</w:t>
            </w:r>
          </w:p>
        </w:tc>
        <w:tc>
          <w:tcPr>
            <w:tcW w:w="1312" w:type="dxa"/>
            <w:noWrap/>
            <w:hideMark/>
          </w:tcPr>
          <w:p w14:paraId="5DAA0C8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1-May-23</w:t>
            </w:r>
          </w:p>
        </w:tc>
        <w:tc>
          <w:tcPr>
            <w:tcW w:w="5262" w:type="dxa"/>
            <w:noWrap/>
            <w:hideMark/>
          </w:tcPr>
          <w:p w14:paraId="5FAE6C34"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At-home pulmonary rehabilitation</w:t>
            </w:r>
          </w:p>
        </w:tc>
        <w:tc>
          <w:tcPr>
            <w:tcW w:w="2083" w:type="dxa"/>
            <w:noWrap/>
            <w:hideMark/>
          </w:tcPr>
          <w:p w14:paraId="417A01B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009FFEB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Respiratory</w:t>
            </w:r>
          </w:p>
        </w:tc>
        <w:tc>
          <w:tcPr>
            <w:tcW w:w="2835" w:type="dxa"/>
            <w:noWrap/>
            <w:hideMark/>
          </w:tcPr>
          <w:p w14:paraId="14FB0E98"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0BA0E649" w14:textId="77777777" w:rsidTr="009D3917">
        <w:trPr>
          <w:trHeight w:val="300"/>
        </w:trPr>
        <w:tc>
          <w:tcPr>
            <w:tcW w:w="552" w:type="dxa"/>
            <w:noWrap/>
            <w:hideMark/>
          </w:tcPr>
          <w:p w14:paraId="075FFC92"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38</w:t>
            </w:r>
          </w:p>
        </w:tc>
        <w:tc>
          <w:tcPr>
            <w:tcW w:w="1312" w:type="dxa"/>
            <w:noWrap/>
            <w:hideMark/>
          </w:tcPr>
          <w:p w14:paraId="08691DB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26-May-23</w:t>
            </w:r>
          </w:p>
        </w:tc>
        <w:tc>
          <w:tcPr>
            <w:tcW w:w="5262" w:type="dxa"/>
            <w:noWrap/>
            <w:hideMark/>
          </w:tcPr>
          <w:p w14:paraId="43A6DE69"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GARDASIL - the HPV vaccine</w:t>
            </w:r>
          </w:p>
        </w:tc>
        <w:tc>
          <w:tcPr>
            <w:tcW w:w="2083" w:type="dxa"/>
            <w:noWrap/>
            <w:hideMark/>
          </w:tcPr>
          <w:p w14:paraId="73AF3A8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246666A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Cancer and neoplasms</w:t>
            </w:r>
          </w:p>
        </w:tc>
        <w:tc>
          <w:tcPr>
            <w:tcW w:w="2835" w:type="dxa"/>
            <w:noWrap/>
            <w:hideMark/>
          </w:tcPr>
          <w:p w14:paraId="077DD5E4"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Children &amp; youth </w:t>
            </w:r>
          </w:p>
        </w:tc>
      </w:tr>
      <w:tr w:rsidR="009D3917" w:rsidRPr="00EC77DD" w14:paraId="5480B484" w14:textId="77777777" w:rsidTr="009D3917">
        <w:trPr>
          <w:trHeight w:val="300"/>
        </w:trPr>
        <w:tc>
          <w:tcPr>
            <w:tcW w:w="552" w:type="dxa"/>
            <w:noWrap/>
            <w:hideMark/>
          </w:tcPr>
          <w:p w14:paraId="36AF43CB"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39</w:t>
            </w:r>
          </w:p>
        </w:tc>
        <w:tc>
          <w:tcPr>
            <w:tcW w:w="1312" w:type="dxa"/>
            <w:noWrap/>
            <w:hideMark/>
          </w:tcPr>
          <w:p w14:paraId="7CC88697"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3-Aug-23</w:t>
            </w:r>
          </w:p>
        </w:tc>
        <w:tc>
          <w:tcPr>
            <w:tcW w:w="5262" w:type="dxa"/>
            <w:hideMark/>
          </w:tcPr>
          <w:p w14:paraId="33E04E16"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Airborne pollen and respiratory allergies</w:t>
            </w:r>
          </w:p>
        </w:tc>
        <w:tc>
          <w:tcPr>
            <w:tcW w:w="2083" w:type="dxa"/>
            <w:noWrap/>
            <w:hideMark/>
          </w:tcPr>
          <w:p w14:paraId="3F2065F4"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Public health</w:t>
            </w:r>
          </w:p>
        </w:tc>
        <w:tc>
          <w:tcPr>
            <w:tcW w:w="3260" w:type="dxa"/>
            <w:noWrap/>
            <w:hideMark/>
          </w:tcPr>
          <w:p w14:paraId="58F411D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Respiratory</w:t>
            </w:r>
          </w:p>
        </w:tc>
        <w:tc>
          <w:tcPr>
            <w:tcW w:w="2835" w:type="dxa"/>
            <w:noWrap/>
            <w:hideMark/>
          </w:tcPr>
          <w:p w14:paraId="265C400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2D6EB3FD" w14:textId="77777777" w:rsidTr="009D3917">
        <w:trPr>
          <w:trHeight w:val="300"/>
        </w:trPr>
        <w:tc>
          <w:tcPr>
            <w:tcW w:w="552" w:type="dxa"/>
            <w:noWrap/>
            <w:hideMark/>
          </w:tcPr>
          <w:p w14:paraId="689A02F1"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40</w:t>
            </w:r>
          </w:p>
        </w:tc>
        <w:tc>
          <w:tcPr>
            <w:tcW w:w="1312" w:type="dxa"/>
            <w:noWrap/>
            <w:hideMark/>
          </w:tcPr>
          <w:p w14:paraId="776FD354"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16-Aug-23</w:t>
            </w:r>
          </w:p>
        </w:tc>
        <w:tc>
          <w:tcPr>
            <w:tcW w:w="5262" w:type="dxa"/>
            <w:hideMark/>
          </w:tcPr>
          <w:p w14:paraId="180B406B"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 xml:space="preserve">Health and the built environment </w:t>
            </w:r>
          </w:p>
        </w:tc>
        <w:tc>
          <w:tcPr>
            <w:tcW w:w="2083" w:type="dxa"/>
            <w:noWrap/>
            <w:hideMark/>
          </w:tcPr>
          <w:p w14:paraId="02B308F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Public health</w:t>
            </w:r>
          </w:p>
        </w:tc>
        <w:tc>
          <w:tcPr>
            <w:tcW w:w="3260" w:type="dxa"/>
            <w:noWrap/>
            <w:hideMark/>
          </w:tcPr>
          <w:p w14:paraId="296A9E4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Generic health relevance</w:t>
            </w:r>
          </w:p>
        </w:tc>
        <w:tc>
          <w:tcPr>
            <w:tcW w:w="2835" w:type="dxa"/>
            <w:noWrap/>
            <w:hideMark/>
          </w:tcPr>
          <w:p w14:paraId="7A46E16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1EFA4041" w14:textId="77777777" w:rsidTr="009D3917">
        <w:trPr>
          <w:trHeight w:val="300"/>
        </w:trPr>
        <w:tc>
          <w:tcPr>
            <w:tcW w:w="552" w:type="dxa"/>
            <w:noWrap/>
            <w:hideMark/>
          </w:tcPr>
          <w:p w14:paraId="0AFBAF07"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41</w:t>
            </w:r>
          </w:p>
        </w:tc>
        <w:tc>
          <w:tcPr>
            <w:tcW w:w="1312" w:type="dxa"/>
            <w:noWrap/>
            <w:hideMark/>
          </w:tcPr>
          <w:p w14:paraId="74766945"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23-Aug-23</w:t>
            </w:r>
          </w:p>
        </w:tc>
        <w:tc>
          <w:tcPr>
            <w:tcW w:w="5262" w:type="dxa"/>
            <w:hideMark/>
          </w:tcPr>
          <w:p w14:paraId="7DB17213"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Treating chronic childhood cough</w:t>
            </w:r>
          </w:p>
        </w:tc>
        <w:tc>
          <w:tcPr>
            <w:tcW w:w="2083" w:type="dxa"/>
            <w:noWrap/>
            <w:hideMark/>
          </w:tcPr>
          <w:p w14:paraId="1B72466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0A03AED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Respiratory</w:t>
            </w:r>
          </w:p>
        </w:tc>
        <w:tc>
          <w:tcPr>
            <w:tcW w:w="2835" w:type="dxa"/>
            <w:noWrap/>
            <w:hideMark/>
          </w:tcPr>
          <w:p w14:paraId="4A583F2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Children &amp; youth </w:t>
            </w:r>
          </w:p>
        </w:tc>
      </w:tr>
      <w:tr w:rsidR="009D3917" w:rsidRPr="00EC77DD" w14:paraId="5A22B983" w14:textId="77777777" w:rsidTr="009D3917">
        <w:trPr>
          <w:trHeight w:val="300"/>
        </w:trPr>
        <w:tc>
          <w:tcPr>
            <w:tcW w:w="552" w:type="dxa"/>
            <w:noWrap/>
            <w:hideMark/>
          </w:tcPr>
          <w:p w14:paraId="017FCF97"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42</w:t>
            </w:r>
          </w:p>
        </w:tc>
        <w:tc>
          <w:tcPr>
            <w:tcW w:w="1312" w:type="dxa"/>
            <w:noWrap/>
            <w:hideMark/>
          </w:tcPr>
          <w:p w14:paraId="1F4B7C65"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4-Oct-23</w:t>
            </w:r>
          </w:p>
        </w:tc>
        <w:tc>
          <w:tcPr>
            <w:tcW w:w="5262" w:type="dxa"/>
            <w:noWrap/>
            <w:hideMark/>
          </w:tcPr>
          <w:p w14:paraId="2DEFEC6F"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Phage typing and infection control</w:t>
            </w:r>
          </w:p>
        </w:tc>
        <w:tc>
          <w:tcPr>
            <w:tcW w:w="2083" w:type="dxa"/>
            <w:noWrap/>
            <w:hideMark/>
          </w:tcPr>
          <w:p w14:paraId="684E371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1BA3C6C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Infection</w:t>
            </w:r>
          </w:p>
        </w:tc>
        <w:tc>
          <w:tcPr>
            <w:tcW w:w="2835" w:type="dxa"/>
            <w:noWrap/>
            <w:hideMark/>
          </w:tcPr>
          <w:p w14:paraId="750EA86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54FA3D52" w14:textId="77777777" w:rsidTr="009D3917">
        <w:trPr>
          <w:trHeight w:val="300"/>
        </w:trPr>
        <w:tc>
          <w:tcPr>
            <w:tcW w:w="552" w:type="dxa"/>
            <w:noWrap/>
            <w:hideMark/>
          </w:tcPr>
          <w:p w14:paraId="0133C051"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43</w:t>
            </w:r>
          </w:p>
        </w:tc>
        <w:tc>
          <w:tcPr>
            <w:tcW w:w="1312" w:type="dxa"/>
            <w:noWrap/>
            <w:hideMark/>
          </w:tcPr>
          <w:p w14:paraId="3965A237"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4-Oct-23</w:t>
            </w:r>
          </w:p>
        </w:tc>
        <w:tc>
          <w:tcPr>
            <w:tcW w:w="5262" w:type="dxa"/>
            <w:noWrap/>
            <w:hideMark/>
          </w:tcPr>
          <w:p w14:paraId="0B0CFA11"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Discovering Ross River virus</w:t>
            </w:r>
          </w:p>
        </w:tc>
        <w:tc>
          <w:tcPr>
            <w:tcW w:w="2083" w:type="dxa"/>
            <w:noWrap/>
            <w:hideMark/>
          </w:tcPr>
          <w:p w14:paraId="0BE21434"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Public health</w:t>
            </w:r>
          </w:p>
        </w:tc>
        <w:tc>
          <w:tcPr>
            <w:tcW w:w="3260" w:type="dxa"/>
            <w:noWrap/>
            <w:hideMark/>
          </w:tcPr>
          <w:p w14:paraId="7B2DC0F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Infection</w:t>
            </w:r>
          </w:p>
        </w:tc>
        <w:tc>
          <w:tcPr>
            <w:tcW w:w="2835" w:type="dxa"/>
            <w:noWrap/>
            <w:hideMark/>
          </w:tcPr>
          <w:p w14:paraId="254FC448"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Rural &amp; remote Australians </w:t>
            </w:r>
          </w:p>
        </w:tc>
      </w:tr>
      <w:tr w:rsidR="009D3917" w:rsidRPr="00EC77DD" w14:paraId="24BFD41A" w14:textId="77777777" w:rsidTr="009D3917">
        <w:trPr>
          <w:trHeight w:val="300"/>
        </w:trPr>
        <w:tc>
          <w:tcPr>
            <w:tcW w:w="552" w:type="dxa"/>
            <w:noWrap/>
            <w:hideMark/>
          </w:tcPr>
          <w:p w14:paraId="1F0F5566"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44</w:t>
            </w:r>
          </w:p>
        </w:tc>
        <w:tc>
          <w:tcPr>
            <w:tcW w:w="1312" w:type="dxa"/>
            <w:noWrap/>
            <w:hideMark/>
          </w:tcPr>
          <w:p w14:paraId="2A4BDF08"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30-Jan-24</w:t>
            </w:r>
          </w:p>
        </w:tc>
        <w:tc>
          <w:tcPr>
            <w:tcW w:w="5262" w:type="dxa"/>
            <w:noWrap/>
            <w:hideMark/>
          </w:tcPr>
          <w:p w14:paraId="3BB7F97E"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Rhesus immunisation in Australia</w:t>
            </w:r>
          </w:p>
        </w:tc>
        <w:tc>
          <w:tcPr>
            <w:tcW w:w="2083" w:type="dxa"/>
            <w:noWrap/>
            <w:hideMark/>
          </w:tcPr>
          <w:p w14:paraId="1BEB2A7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27C9135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Reproductive health and childbirth</w:t>
            </w:r>
          </w:p>
        </w:tc>
        <w:tc>
          <w:tcPr>
            <w:tcW w:w="2835" w:type="dxa"/>
            <w:noWrap/>
            <w:hideMark/>
          </w:tcPr>
          <w:p w14:paraId="67F6B61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Mothers &amp; babies </w:t>
            </w:r>
          </w:p>
        </w:tc>
      </w:tr>
      <w:tr w:rsidR="009D3917" w:rsidRPr="00EC77DD" w14:paraId="2464AEF3" w14:textId="77777777" w:rsidTr="009D3917">
        <w:trPr>
          <w:trHeight w:val="300"/>
        </w:trPr>
        <w:tc>
          <w:tcPr>
            <w:tcW w:w="552" w:type="dxa"/>
            <w:noWrap/>
            <w:hideMark/>
          </w:tcPr>
          <w:p w14:paraId="6E38AAC8"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45</w:t>
            </w:r>
          </w:p>
        </w:tc>
        <w:tc>
          <w:tcPr>
            <w:tcW w:w="1312" w:type="dxa"/>
            <w:noWrap/>
            <w:hideMark/>
          </w:tcPr>
          <w:p w14:paraId="0EFCA37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26-Feb-24</w:t>
            </w:r>
          </w:p>
        </w:tc>
        <w:tc>
          <w:tcPr>
            <w:tcW w:w="5262" w:type="dxa"/>
            <w:noWrap/>
            <w:hideMark/>
          </w:tcPr>
          <w:p w14:paraId="0D188406"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Rotavirus: discovery and vaccines</w:t>
            </w:r>
          </w:p>
        </w:tc>
        <w:tc>
          <w:tcPr>
            <w:tcW w:w="2083" w:type="dxa"/>
            <w:noWrap/>
            <w:hideMark/>
          </w:tcPr>
          <w:p w14:paraId="008D819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4FB16C8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Infection</w:t>
            </w:r>
          </w:p>
        </w:tc>
        <w:tc>
          <w:tcPr>
            <w:tcW w:w="2835" w:type="dxa"/>
            <w:noWrap/>
            <w:hideMark/>
          </w:tcPr>
          <w:p w14:paraId="649D356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Children &amp; youth </w:t>
            </w:r>
          </w:p>
        </w:tc>
      </w:tr>
      <w:tr w:rsidR="009D3917" w:rsidRPr="00EC77DD" w14:paraId="1E3E6302" w14:textId="77777777" w:rsidTr="009D3917">
        <w:trPr>
          <w:trHeight w:val="300"/>
        </w:trPr>
        <w:tc>
          <w:tcPr>
            <w:tcW w:w="552" w:type="dxa"/>
            <w:noWrap/>
            <w:hideMark/>
          </w:tcPr>
          <w:p w14:paraId="459853AE"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46</w:t>
            </w:r>
          </w:p>
        </w:tc>
        <w:tc>
          <w:tcPr>
            <w:tcW w:w="1312" w:type="dxa"/>
            <w:noWrap/>
            <w:hideMark/>
          </w:tcPr>
          <w:p w14:paraId="7FCF04E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24-May-24</w:t>
            </w:r>
          </w:p>
        </w:tc>
        <w:tc>
          <w:tcPr>
            <w:tcW w:w="5262" w:type="dxa"/>
            <w:noWrap/>
            <w:hideMark/>
          </w:tcPr>
          <w:p w14:paraId="43FC6285"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Improving outcomes in childhood leukaemia</w:t>
            </w:r>
          </w:p>
        </w:tc>
        <w:tc>
          <w:tcPr>
            <w:tcW w:w="2083" w:type="dxa"/>
            <w:noWrap/>
            <w:hideMark/>
          </w:tcPr>
          <w:p w14:paraId="445C562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25627EE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Cancer and neoplasms</w:t>
            </w:r>
          </w:p>
        </w:tc>
        <w:tc>
          <w:tcPr>
            <w:tcW w:w="2835" w:type="dxa"/>
            <w:noWrap/>
            <w:hideMark/>
          </w:tcPr>
          <w:p w14:paraId="4EAAF7C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Children &amp; youth </w:t>
            </w:r>
          </w:p>
        </w:tc>
      </w:tr>
      <w:tr w:rsidR="009D3917" w:rsidRPr="00EC77DD" w14:paraId="2CA8A9B8" w14:textId="77777777" w:rsidTr="009D3917">
        <w:trPr>
          <w:trHeight w:val="300"/>
        </w:trPr>
        <w:tc>
          <w:tcPr>
            <w:tcW w:w="552" w:type="dxa"/>
            <w:noWrap/>
            <w:hideMark/>
          </w:tcPr>
          <w:p w14:paraId="5A690570"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lastRenderedPageBreak/>
              <w:t>47</w:t>
            </w:r>
          </w:p>
        </w:tc>
        <w:tc>
          <w:tcPr>
            <w:tcW w:w="1312" w:type="dxa"/>
            <w:noWrap/>
            <w:hideMark/>
          </w:tcPr>
          <w:p w14:paraId="0A027EFF"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1-Aug-24</w:t>
            </w:r>
          </w:p>
        </w:tc>
        <w:tc>
          <w:tcPr>
            <w:tcW w:w="5262" w:type="dxa"/>
            <w:noWrap/>
            <w:hideMark/>
          </w:tcPr>
          <w:p w14:paraId="1CCE9FEE"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Improving stroke outcomes</w:t>
            </w:r>
          </w:p>
        </w:tc>
        <w:tc>
          <w:tcPr>
            <w:tcW w:w="2083" w:type="dxa"/>
            <w:noWrap/>
            <w:hideMark/>
          </w:tcPr>
          <w:p w14:paraId="3DDA3624"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775BE44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Stroke</w:t>
            </w:r>
          </w:p>
        </w:tc>
        <w:tc>
          <w:tcPr>
            <w:tcW w:w="2835" w:type="dxa"/>
            <w:noWrap/>
            <w:hideMark/>
          </w:tcPr>
          <w:p w14:paraId="1B50A85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31F7B1CB" w14:textId="77777777" w:rsidTr="009D3917">
        <w:trPr>
          <w:trHeight w:val="300"/>
        </w:trPr>
        <w:tc>
          <w:tcPr>
            <w:tcW w:w="552" w:type="dxa"/>
            <w:noWrap/>
            <w:hideMark/>
          </w:tcPr>
          <w:p w14:paraId="5D83B9C7"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48</w:t>
            </w:r>
          </w:p>
        </w:tc>
        <w:tc>
          <w:tcPr>
            <w:tcW w:w="1312" w:type="dxa"/>
            <w:noWrap/>
            <w:hideMark/>
          </w:tcPr>
          <w:p w14:paraId="217B0181"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1-Aug-24</w:t>
            </w:r>
          </w:p>
        </w:tc>
        <w:tc>
          <w:tcPr>
            <w:tcW w:w="5262" w:type="dxa"/>
            <w:noWrap/>
            <w:hideMark/>
          </w:tcPr>
          <w:p w14:paraId="06F56F29"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 xml:space="preserve">New treatments for leukaemia </w:t>
            </w:r>
          </w:p>
        </w:tc>
        <w:tc>
          <w:tcPr>
            <w:tcW w:w="2083" w:type="dxa"/>
            <w:noWrap/>
            <w:hideMark/>
          </w:tcPr>
          <w:p w14:paraId="10B61B5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354388D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Cancer and neoplasms</w:t>
            </w:r>
          </w:p>
        </w:tc>
        <w:tc>
          <w:tcPr>
            <w:tcW w:w="2835" w:type="dxa"/>
            <w:noWrap/>
            <w:hideMark/>
          </w:tcPr>
          <w:p w14:paraId="7AE638D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2B45E4EF" w14:textId="77777777" w:rsidTr="009D3917">
        <w:trPr>
          <w:trHeight w:val="300"/>
        </w:trPr>
        <w:tc>
          <w:tcPr>
            <w:tcW w:w="552" w:type="dxa"/>
            <w:noWrap/>
            <w:hideMark/>
          </w:tcPr>
          <w:p w14:paraId="066C8720"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49</w:t>
            </w:r>
          </w:p>
        </w:tc>
        <w:tc>
          <w:tcPr>
            <w:tcW w:w="1312" w:type="dxa"/>
            <w:noWrap/>
            <w:hideMark/>
          </w:tcPr>
          <w:p w14:paraId="0C8889F4"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19-Aug-24</w:t>
            </w:r>
          </w:p>
        </w:tc>
        <w:tc>
          <w:tcPr>
            <w:tcW w:w="5262" w:type="dxa"/>
            <w:noWrap/>
            <w:hideMark/>
          </w:tcPr>
          <w:p w14:paraId="6D211960"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A vaccine for chikungunya virus</w:t>
            </w:r>
          </w:p>
        </w:tc>
        <w:tc>
          <w:tcPr>
            <w:tcW w:w="2083" w:type="dxa"/>
            <w:noWrap/>
            <w:hideMark/>
          </w:tcPr>
          <w:p w14:paraId="29D7598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45919DC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Infection</w:t>
            </w:r>
          </w:p>
        </w:tc>
        <w:tc>
          <w:tcPr>
            <w:tcW w:w="2835" w:type="dxa"/>
            <w:noWrap/>
            <w:hideMark/>
          </w:tcPr>
          <w:p w14:paraId="7E5EB50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4B71FCE8" w14:textId="77777777" w:rsidTr="009D3917">
        <w:trPr>
          <w:trHeight w:val="300"/>
        </w:trPr>
        <w:tc>
          <w:tcPr>
            <w:tcW w:w="552" w:type="dxa"/>
            <w:noWrap/>
            <w:hideMark/>
          </w:tcPr>
          <w:p w14:paraId="336C6FFA"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50</w:t>
            </w:r>
          </w:p>
        </w:tc>
        <w:tc>
          <w:tcPr>
            <w:tcW w:w="1312" w:type="dxa"/>
            <w:noWrap/>
            <w:hideMark/>
          </w:tcPr>
          <w:p w14:paraId="6210AAC7"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20-Aug-24</w:t>
            </w:r>
          </w:p>
        </w:tc>
        <w:tc>
          <w:tcPr>
            <w:tcW w:w="5262" w:type="dxa"/>
            <w:noWrap/>
            <w:hideMark/>
          </w:tcPr>
          <w:p w14:paraId="34746FC8"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Screening to prevent bowel cancer</w:t>
            </w:r>
          </w:p>
        </w:tc>
        <w:tc>
          <w:tcPr>
            <w:tcW w:w="2083" w:type="dxa"/>
            <w:noWrap/>
            <w:hideMark/>
          </w:tcPr>
          <w:p w14:paraId="71F11D2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Public health</w:t>
            </w:r>
          </w:p>
        </w:tc>
        <w:tc>
          <w:tcPr>
            <w:tcW w:w="3260" w:type="dxa"/>
            <w:noWrap/>
            <w:hideMark/>
          </w:tcPr>
          <w:p w14:paraId="49F9392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Cancer and neoplasms</w:t>
            </w:r>
          </w:p>
        </w:tc>
        <w:tc>
          <w:tcPr>
            <w:tcW w:w="2835" w:type="dxa"/>
            <w:noWrap/>
            <w:hideMark/>
          </w:tcPr>
          <w:p w14:paraId="7912D6C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5A6790E3" w14:textId="77777777" w:rsidTr="009D3917">
        <w:trPr>
          <w:trHeight w:val="300"/>
        </w:trPr>
        <w:tc>
          <w:tcPr>
            <w:tcW w:w="552" w:type="dxa"/>
            <w:noWrap/>
            <w:hideMark/>
          </w:tcPr>
          <w:p w14:paraId="6F003BA7"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51</w:t>
            </w:r>
          </w:p>
        </w:tc>
        <w:tc>
          <w:tcPr>
            <w:tcW w:w="1312" w:type="dxa"/>
            <w:noWrap/>
            <w:hideMark/>
          </w:tcPr>
          <w:p w14:paraId="76FD5AA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23-Oct-24</w:t>
            </w:r>
          </w:p>
        </w:tc>
        <w:tc>
          <w:tcPr>
            <w:tcW w:w="5262" w:type="dxa"/>
            <w:noWrap/>
            <w:hideMark/>
          </w:tcPr>
          <w:p w14:paraId="708C4CA0"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A foundation for neuroscience</w:t>
            </w:r>
          </w:p>
        </w:tc>
        <w:tc>
          <w:tcPr>
            <w:tcW w:w="2083" w:type="dxa"/>
            <w:noWrap/>
            <w:hideMark/>
          </w:tcPr>
          <w:p w14:paraId="516495B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Knowledge</w:t>
            </w:r>
          </w:p>
        </w:tc>
        <w:tc>
          <w:tcPr>
            <w:tcW w:w="3260" w:type="dxa"/>
            <w:noWrap/>
            <w:hideMark/>
          </w:tcPr>
          <w:p w14:paraId="1AD0E74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Neurological</w:t>
            </w:r>
          </w:p>
        </w:tc>
        <w:tc>
          <w:tcPr>
            <w:tcW w:w="2835" w:type="dxa"/>
            <w:noWrap/>
            <w:hideMark/>
          </w:tcPr>
          <w:p w14:paraId="5B46299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79FCF624" w14:textId="77777777" w:rsidTr="009D3917">
        <w:trPr>
          <w:trHeight w:val="300"/>
        </w:trPr>
        <w:tc>
          <w:tcPr>
            <w:tcW w:w="552" w:type="dxa"/>
            <w:noWrap/>
            <w:hideMark/>
          </w:tcPr>
          <w:p w14:paraId="522E381E"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52</w:t>
            </w:r>
          </w:p>
        </w:tc>
        <w:tc>
          <w:tcPr>
            <w:tcW w:w="1312" w:type="dxa"/>
            <w:noWrap/>
            <w:hideMark/>
          </w:tcPr>
          <w:p w14:paraId="522BC71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21-Nov-24</w:t>
            </w:r>
          </w:p>
        </w:tc>
        <w:tc>
          <w:tcPr>
            <w:tcW w:w="5262" w:type="dxa"/>
            <w:noWrap/>
            <w:hideMark/>
          </w:tcPr>
          <w:p w14:paraId="7480ADCA"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Preterm births and omega-3</w:t>
            </w:r>
          </w:p>
        </w:tc>
        <w:tc>
          <w:tcPr>
            <w:tcW w:w="2083" w:type="dxa"/>
            <w:noWrap/>
            <w:hideMark/>
          </w:tcPr>
          <w:p w14:paraId="07981DB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71B7B3C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Reproductive health and childbirth</w:t>
            </w:r>
          </w:p>
        </w:tc>
        <w:tc>
          <w:tcPr>
            <w:tcW w:w="2835" w:type="dxa"/>
            <w:noWrap/>
            <w:hideMark/>
          </w:tcPr>
          <w:p w14:paraId="2F7937D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Mothers &amp; babies </w:t>
            </w:r>
          </w:p>
        </w:tc>
      </w:tr>
      <w:tr w:rsidR="009D3917" w:rsidRPr="00EC77DD" w14:paraId="1EA2E293" w14:textId="77777777" w:rsidTr="009D3917">
        <w:trPr>
          <w:trHeight w:val="300"/>
        </w:trPr>
        <w:tc>
          <w:tcPr>
            <w:tcW w:w="552" w:type="dxa"/>
            <w:noWrap/>
            <w:hideMark/>
          </w:tcPr>
          <w:p w14:paraId="787BC659"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53</w:t>
            </w:r>
          </w:p>
        </w:tc>
        <w:tc>
          <w:tcPr>
            <w:tcW w:w="1312" w:type="dxa"/>
            <w:noWrap/>
            <w:hideMark/>
          </w:tcPr>
          <w:p w14:paraId="3F754D8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13-Jan-25</w:t>
            </w:r>
          </w:p>
        </w:tc>
        <w:tc>
          <w:tcPr>
            <w:tcW w:w="5262" w:type="dxa"/>
            <w:noWrap/>
            <w:hideMark/>
          </w:tcPr>
          <w:p w14:paraId="122BFE00"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Establishing kidney transplantation</w:t>
            </w:r>
          </w:p>
        </w:tc>
        <w:tc>
          <w:tcPr>
            <w:tcW w:w="2083" w:type="dxa"/>
            <w:noWrap/>
            <w:hideMark/>
          </w:tcPr>
          <w:p w14:paraId="3CBC043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13F99C8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Renal and Urogenital</w:t>
            </w:r>
          </w:p>
        </w:tc>
        <w:tc>
          <w:tcPr>
            <w:tcW w:w="2835" w:type="dxa"/>
            <w:noWrap/>
            <w:hideMark/>
          </w:tcPr>
          <w:p w14:paraId="69F5A60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6AA31481" w14:textId="77777777" w:rsidTr="009D3917">
        <w:trPr>
          <w:trHeight w:val="300"/>
        </w:trPr>
        <w:tc>
          <w:tcPr>
            <w:tcW w:w="552" w:type="dxa"/>
            <w:noWrap/>
            <w:hideMark/>
          </w:tcPr>
          <w:p w14:paraId="69DADB3F"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54</w:t>
            </w:r>
          </w:p>
        </w:tc>
        <w:tc>
          <w:tcPr>
            <w:tcW w:w="1312" w:type="dxa"/>
            <w:noWrap/>
            <w:hideMark/>
          </w:tcPr>
          <w:p w14:paraId="0C19E26C"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12-Feb-25</w:t>
            </w:r>
          </w:p>
        </w:tc>
        <w:tc>
          <w:tcPr>
            <w:tcW w:w="5262" w:type="dxa"/>
            <w:noWrap/>
            <w:hideMark/>
          </w:tcPr>
          <w:p w14:paraId="580FF73D"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Better treatment for glaucoma</w:t>
            </w:r>
          </w:p>
        </w:tc>
        <w:tc>
          <w:tcPr>
            <w:tcW w:w="2083" w:type="dxa"/>
            <w:noWrap/>
            <w:hideMark/>
          </w:tcPr>
          <w:p w14:paraId="778CCD3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Device</w:t>
            </w:r>
          </w:p>
        </w:tc>
        <w:tc>
          <w:tcPr>
            <w:tcW w:w="3260" w:type="dxa"/>
            <w:noWrap/>
            <w:hideMark/>
          </w:tcPr>
          <w:p w14:paraId="6FAA23C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Eye</w:t>
            </w:r>
          </w:p>
        </w:tc>
        <w:tc>
          <w:tcPr>
            <w:tcW w:w="2835" w:type="dxa"/>
            <w:noWrap/>
            <w:hideMark/>
          </w:tcPr>
          <w:p w14:paraId="6D2A7C5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1E2226FA" w14:textId="77777777" w:rsidTr="009D3917">
        <w:trPr>
          <w:trHeight w:val="300"/>
        </w:trPr>
        <w:tc>
          <w:tcPr>
            <w:tcW w:w="552" w:type="dxa"/>
            <w:noWrap/>
            <w:hideMark/>
          </w:tcPr>
          <w:p w14:paraId="0D567D32"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55</w:t>
            </w:r>
          </w:p>
        </w:tc>
        <w:tc>
          <w:tcPr>
            <w:tcW w:w="1312" w:type="dxa"/>
            <w:noWrap/>
            <w:hideMark/>
          </w:tcPr>
          <w:p w14:paraId="4A0DA2F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27-Feb-25</w:t>
            </w:r>
          </w:p>
        </w:tc>
        <w:tc>
          <w:tcPr>
            <w:tcW w:w="5262" w:type="dxa"/>
            <w:noWrap/>
            <w:hideMark/>
          </w:tcPr>
          <w:p w14:paraId="083168E6"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Helping premature babies breathe</w:t>
            </w:r>
          </w:p>
        </w:tc>
        <w:tc>
          <w:tcPr>
            <w:tcW w:w="2083" w:type="dxa"/>
            <w:noWrap/>
            <w:hideMark/>
          </w:tcPr>
          <w:p w14:paraId="6A91F58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7C84274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Reproductive health and childbirth</w:t>
            </w:r>
          </w:p>
        </w:tc>
        <w:tc>
          <w:tcPr>
            <w:tcW w:w="2835" w:type="dxa"/>
            <w:noWrap/>
            <w:hideMark/>
          </w:tcPr>
          <w:p w14:paraId="74E4EC8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Mothers &amp; babies </w:t>
            </w:r>
          </w:p>
        </w:tc>
      </w:tr>
      <w:tr w:rsidR="009D3917" w:rsidRPr="00EC77DD" w14:paraId="574CFF09" w14:textId="77777777" w:rsidTr="009D3917">
        <w:trPr>
          <w:trHeight w:val="300"/>
        </w:trPr>
        <w:tc>
          <w:tcPr>
            <w:tcW w:w="552" w:type="dxa"/>
            <w:noWrap/>
            <w:hideMark/>
          </w:tcPr>
          <w:p w14:paraId="1F3E136C"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56</w:t>
            </w:r>
          </w:p>
        </w:tc>
        <w:tc>
          <w:tcPr>
            <w:tcW w:w="1312" w:type="dxa"/>
            <w:noWrap/>
            <w:hideMark/>
          </w:tcPr>
          <w:p w14:paraId="2B7BDE78"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3-Apr-25</w:t>
            </w:r>
          </w:p>
        </w:tc>
        <w:tc>
          <w:tcPr>
            <w:tcW w:w="5262" w:type="dxa"/>
            <w:noWrap/>
            <w:hideMark/>
          </w:tcPr>
          <w:p w14:paraId="4A1258F7"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Improving vision with corneal transplants</w:t>
            </w:r>
          </w:p>
        </w:tc>
        <w:tc>
          <w:tcPr>
            <w:tcW w:w="2083" w:type="dxa"/>
            <w:noWrap/>
            <w:hideMark/>
          </w:tcPr>
          <w:p w14:paraId="3CEBDE7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3FC3245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Eye</w:t>
            </w:r>
          </w:p>
        </w:tc>
        <w:tc>
          <w:tcPr>
            <w:tcW w:w="2835" w:type="dxa"/>
            <w:noWrap/>
            <w:hideMark/>
          </w:tcPr>
          <w:p w14:paraId="3C553F7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Older people </w:t>
            </w:r>
          </w:p>
        </w:tc>
      </w:tr>
      <w:tr w:rsidR="009D3917" w:rsidRPr="00EC77DD" w14:paraId="756790A3" w14:textId="77777777" w:rsidTr="009D3917">
        <w:trPr>
          <w:trHeight w:val="300"/>
        </w:trPr>
        <w:tc>
          <w:tcPr>
            <w:tcW w:w="552" w:type="dxa"/>
            <w:noWrap/>
            <w:hideMark/>
          </w:tcPr>
          <w:p w14:paraId="3FE0D5F6"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57</w:t>
            </w:r>
          </w:p>
        </w:tc>
        <w:tc>
          <w:tcPr>
            <w:tcW w:w="1312" w:type="dxa"/>
            <w:noWrap/>
            <w:hideMark/>
          </w:tcPr>
          <w:p w14:paraId="2F7D021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3-Jul-25</w:t>
            </w:r>
          </w:p>
        </w:tc>
        <w:tc>
          <w:tcPr>
            <w:tcW w:w="5262" w:type="dxa"/>
            <w:noWrap/>
            <w:hideMark/>
          </w:tcPr>
          <w:p w14:paraId="69C68113"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Improving dental health</w:t>
            </w:r>
          </w:p>
        </w:tc>
        <w:tc>
          <w:tcPr>
            <w:tcW w:w="2083" w:type="dxa"/>
            <w:noWrap/>
            <w:hideMark/>
          </w:tcPr>
          <w:p w14:paraId="7F52A9B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Pharmaceutical</w:t>
            </w:r>
          </w:p>
        </w:tc>
        <w:tc>
          <w:tcPr>
            <w:tcW w:w="3260" w:type="dxa"/>
            <w:noWrap/>
            <w:hideMark/>
          </w:tcPr>
          <w:p w14:paraId="2146B0D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Oral and gastrointestinal</w:t>
            </w:r>
          </w:p>
        </w:tc>
        <w:tc>
          <w:tcPr>
            <w:tcW w:w="2835" w:type="dxa"/>
            <w:noWrap/>
            <w:hideMark/>
          </w:tcPr>
          <w:p w14:paraId="2FFA373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1D5BA269" w14:textId="77777777" w:rsidTr="009D3917">
        <w:trPr>
          <w:trHeight w:val="300"/>
        </w:trPr>
        <w:tc>
          <w:tcPr>
            <w:tcW w:w="552" w:type="dxa"/>
            <w:noWrap/>
            <w:hideMark/>
          </w:tcPr>
          <w:p w14:paraId="2124BEC5"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58</w:t>
            </w:r>
          </w:p>
        </w:tc>
        <w:tc>
          <w:tcPr>
            <w:tcW w:w="1312" w:type="dxa"/>
            <w:noWrap/>
            <w:hideMark/>
          </w:tcPr>
          <w:p w14:paraId="19B7414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10-Jul-25</w:t>
            </w:r>
          </w:p>
        </w:tc>
        <w:tc>
          <w:tcPr>
            <w:tcW w:w="5262" w:type="dxa"/>
            <w:noWrap/>
            <w:hideMark/>
          </w:tcPr>
          <w:p w14:paraId="265096CA"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Helping kids with anxiety</w:t>
            </w:r>
          </w:p>
        </w:tc>
        <w:tc>
          <w:tcPr>
            <w:tcW w:w="2083" w:type="dxa"/>
            <w:noWrap/>
            <w:hideMark/>
          </w:tcPr>
          <w:p w14:paraId="7CB5943A"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5D0474E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Mental health</w:t>
            </w:r>
          </w:p>
        </w:tc>
        <w:tc>
          <w:tcPr>
            <w:tcW w:w="2835" w:type="dxa"/>
            <w:noWrap/>
            <w:hideMark/>
          </w:tcPr>
          <w:p w14:paraId="0F0570E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Children &amp; youth </w:t>
            </w:r>
          </w:p>
        </w:tc>
      </w:tr>
      <w:tr w:rsidR="009D3917" w:rsidRPr="00EC77DD" w14:paraId="1673BAD0" w14:textId="77777777" w:rsidTr="009D3917">
        <w:trPr>
          <w:trHeight w:val="300"/>
        </w:trPr>
        <w:tc>
          <w:tcPr>
            <w:tcW w:w="552" w:type="dxa"/>
            <w:noWrap/>
            <w:hideMark/>
          </w:tcPr>
          <w:p w14:paraId="5F724F03"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59</w:t>
            </w:r>
          </w:p>
        </w:tc>
        <w:tc>
          <w:tcPr>
            <w:tcW w:w="1312" w:type="dxa"/>
            <w:noWrap/>
            <w:hideMark/>
          </w:tcPr>
          <w:p w14:paraId="3F4E211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19-Aug-25</w:t>
            </w:r>
          </w:p>
        </w:tc>
        <w:tc>
          <w:tcPr>
            <w:tcW w:w="5262" w:type="dxa"/>
            <w:noWrap/>
            <w:hideMark/>
          </w:tcPr>
          <w:p w14:paraId="335985D8"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Curing stomach ulcers</w:t>
            </w:r>
          </w:p>
        </w:tc>
        <w:tc>
          <w:tcPr>
            <w:tcW w:w="2083" w:type="dxa"/>
            <w:noWrap/>
            <w:hideMark/>
          </w:tcPr>
          <w:p w14:paraId="0C70724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50DDF513"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Oral and gastrointestinal</w:t>
            </w:r>
          </w:p>
        </w:tc>
        <w:tc>
          <w:tcPr>
            <w:tcW w:w="2835" w:type="dxa"/>
            <w:noWrap/>
            <w:hideMark/>
          </w:tcPr>
          <w:p w14:paraId="6E0FB277"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790CE60A" w14:textId="77777777" w:rsidTr="009D3917">
        <w:trPr>
          <w:trHeight w:val="300"/>
        </w:trPr>
        <w:tc>
          <w:tcPr>
            <w:tcW w:w="552" w:type="dxa"/>
            <w:noWrap/>
            <w:hideMark/>
          </w:tcPr>
          <w:p w14:paraId="70D27B4D"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60</w:t>
            </w:r>
          </w:p>
        </w:tc>
        <w:tc>
          <w:tcPr>
            <w:tcW w:w="1312" w:type="dxa"/>
            <w:noWrap/>
            <w:hideMark/>
          </w:tcPr>
          <w:p w14:paraId="55D12C96"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16-Sep-25</w:t>
            </w:r>
          </w:p>
        </w:tc>
        <w:tc>
          <w:tcPr>
            <w:tcW w:w="5262" w:type="dxa"/>
            <w:noWrap/>
            <w:hideMark/>
          </w:tcPr>
          <w:p w14:paraId="54A85AD2"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Evolution of Microsurgery</w:t>
            </w:r>
          </w:p>
        </w:tc>
        <w:tc>
          <w:tcPr>
            <w:tcW w:w="2083" w:type="dxa"/>
            <w:noWrap/>
            <w:hideMark/>
          </w:tcPr>
          <w:p w14:paraId="59B10C7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Clinical practice</w:t>
            </w:r>
          </w:p>
        </w:tc>
        <w:tc>
          <w:tcPr>
            <w:tcW w:w="3260" w:type="dxa"/>
            <w:noWrap/>
            <w:hideMark/>
          </w:tcPr>
          <w:p w14:paraId="7837494D"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Injuries and accidents</w:t>
            </w:r>
          </w:p>
        </w:tc>
        <w:tc>
          <w:tcPr>
            <w:tcW w:w="2835" w:type="dxa"/>
            <w:noWrap/>
            <w:hideMark/>
          </w:tcPr>
          <w:p w14:paraId="7C0411A5"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6B192D73" w14:textId="77777777" w:rsidTr="009D3917">
        <w:trPr>
          <w:trHeight w:val="300"/>
        </w:trPr>
        <w:tc>
          <w:tcPr>
            <w:tcW w:w="552" w:type="dxa"/>
            <w:noWrap/>
            <w:hideMark/>
          </w:tcPr>
          <w:p w14:paraId="7EE1FA80"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61</w:t>
            </w:r>
          </w:p>
        </w:tc>
        <w:tc>
          <w:tcPr>
            <w:tcW w:w="1312" w:type="dxa"/>
            <w:noWrap/>
            <w:hideMark/>
          </w:tcPr>
          <w:p w14:paraId="3E53FDDB"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3-Oct-25</w:t>
            </w:r>
          </w:p>
        </w:tc>
        <w:tc>
          <w:tcPr>
            <w:tcW w:w="5262" w:type="dxa"/>
            <w:noWrap/>
            <w:hideMark/>
          </w:tcPr>
          <w:p w14:paraId="373E900D"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Preventing HIV transmission</w:t>
            </w:r>
          </w:p>
        </w:tc>
        <w:tc>
          <w:tcPr>
            <w:tcW w:w="2083" w:type="dxa"/>
            <w:noWrap/>
            <w:hideMark/>
          </w:tcPr>
          <w:p w14:paraId="7629263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Public health</w:t>
            </w:r>
          </w:p>
        </w:tc>
        <w:tc>
          <w:tcPr>
            <w:tcW w:w="3260" w:type="dxa"/>
            <w:noWrap/>
            <w:hideMark/>
          </w:tcPr>
          <w:p w14:paraId="23AC614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Inflammatory and immune system</w:t>
            </w:r>
          </w:p>
        </w:tc>
        <w:tc>
          <w:tcPr>
            <w:tcW w:w="2835" w:type="dxa"/>
            <w:noWrap/>
            <w:hideMark/>
          </w:tcPr>
          <w:p w14:paraId="271DA5E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LGBTIQ+ communities </w:t>
            </w:r>
          </w:p>
        </w:tc>
      </w:tr>
      <w:tr w:rsidR="009D3917" w:rsidRPr="00EC77DD" w14:paraId="44C7DA48" w14:textId="77777777" w:rsidTr="009D3917">
        <w:trPr>
          <w:trHeight w:val="300"/>
        </w:trPr>
        <w:tc>
          <w:tcPr>
            <w:tcW w:w="552" w:type="dxa"/>
            <w:noWrap/>
            <w:hideMark/>
          </w:tcPr>
          <w:p w14:paraId="3FF17D9A"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62</w:t>
            </w:r>
          </w:p>
        </w:tc>
        <w:tc>
          <w:tcPr>
            <w:tcW w:w="1312" w:type="dxa"/>
            <w:noWrap/>
            <w:hideMark/>
          </w:tcPr>
          <w:p w14:paraId="2E6C5B48"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9-Oct-25</w:t>
            </w:r>
          </w:p>
        </w:tc>
        <w:tc>
          <w:tcPr>
            <w:tcW w:w="5262" w:type="dxa"/>
            <w:noWrap/>
            <w:hideMark/>
          </w:tcPr>
          <w:p w14:paraId="0DF6A6EF"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Providing access to the latest knowledge</w:t>
            </w:r>
          </w:p>
        </w:tc>
        <w:tc>
          <w:tcPr>
            <w:tcW w:w="2083" w:type="dxa"/>
            <w:noWrap/>
            <w:hideMark/>
          </w:tcPr>
          <w:p w14:paraId="4A6EE72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Knowledge</w:t>
            </w:r>
          </w:p>
        </w:tc>
        <w:tc>
          <w:tcPr>
            <w:tcW w:w="3260" w:type="dxa"/>
            <w:noWrap/>
            <w:hideMark/>
          </w:tcPr>
          <w:p w14:paraId="1BA5C1B2"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Generic health relevance</w:t>
            </w:r>
          </w:p>
        </w:tc>
        <w:tc>
          <w:tcPr>
            <w:tcW w:w="2835" w:type="dxa"/>
            <w:noWrap/>
            <w:hideMark/>
          </w:tcPr>
          <w:p w14:paraId="410481EF"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r w:rsidR="009D3917" w:rsidRPr="00EC77DD" w14:paraId="1EF532DE" w14:textId="77777777" w:rsidTr="009D3917">
        <w:trPr>
          <w:trHeight w:val="300"/>
        </w:trPr>
        <w:tc>
          <w:tcPr>
            <w:tcW w:w="552" w:type="dxa"/>
            <w:noWrap/>
            <w:hideMark/>
          </w:tcPr>
          <w:p w14:paraId="420DCCB4" w14:textId="77777777" w:rsidR="009D3917" w:rsidRPr="00EC77DD" w:rsidRDefault="009D3917" w:rsidP="00EC77DD">
            <w:pPr>
              <w:spacing w:before="0" w:after="0" w:line="240" w:lineRule="auto"/>
              <w:rPr>
                <w:rFonts w:ascii="Aptos Narrow" w:eastAsia="Times New Roman" w:hAnsi="Aptos Narrow"/>
                <w:color w:val="auto"/>
                <w:sz w:val="22"/>
                <w:szCs w:val="22"/>
              </w:rPr>
            </w:pPr>
            <w:r w:rsidRPr="00EC77DD">
              <w:rPr>
                <w:rFonts w:ascii="Aptos Narrow" w:eastAsia="Times New Roman" w:hAnsi="Aptos Narrow"/>
                <w:color w:val="auto"/>
                <w:sz w:val="22"/>
                <w:szCs w:val="22"/>
              </w:rPr>
              <w:t>63</w:t>
            </w:r>
          </w:p>
        </w:tc>
        <w:tc>
          <w:tcPr>
            <w:tcW w:w="1312" w:type="dxa"/>
            <w:noWrap/>
            <w:hideMark/>
          </w:tcPr>
          <w:p w14:paraId="2672F959"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10-Oct-25</w:t>
            </w:r>
          </w:p>
        </w:tc>
        <w:tc>
          <w:tcPr>
            <w:tcW w:w="5262" w:type="dxa"/>
            <w:noWrap/>
            <w:hideMark/>
          </w:tcPr>
          <w:p w14:paraId="23D48AA6" w14:textId="77777777" w:rsidR="009D3917" w:rsidRPr="00EC77DD" w:rsidRDefault="009D3917" w:rsidP="00EC77DD">
            <w:pPr>
              <w:spacing w:before="0" w:after="0" w:line="240" w:lineRule="auto"/>
              <w:rPr>
                <w:rFonts w:ascii="Aptos Narrow" w:eastAsia="Times New Roman" w:hAnsi="Aptos Narrow"/>
                <w:b/>
                <w:bCs/>
                <w:color w:val="000000"/>
                <w:sz w:val="22"/>
                <w:szCs w:val="22"/>
              </w:rPr>
            </w:pPr>
            <w:r w:rsidRPr="00EC77DD">
              <w:rPr>
                <w:rFonts w:ascii="Aptos Narrow" w:eastAsia="Times New Roman" w:hAnsi="Aptos Narrow"/>
                <w:b/>
                <w:bCs/>
                <w:color w:val="000000"/>
                <w:sz w:val="22"/>
                <w:szCs w:val="22"/>
              </w:rPr>
              <w:t>Safer contact lenses</w:t>
            </w:r>
          </w:p>
        </w:tc>
        <w:tc>
          <w:tcPr>
            <w:tcW w:w="2083" w:type="dxa"/>
            <w:noWrap/>
            <w:hideMark/>
          </w:tcPr>
          <w:p w14:paraId="2BD7C870"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Device</w:t>
            </w:r>
          </w:p>
        </w:tc>
        <w:tc>
          <w:tcPr>
            <w:tcW w:w="3260" w:type="dxa"/>
            <w:noWrap/>
            <w:hideMark/>
          </w:tcPr>
          <w:p w14:paraId="10314B21"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Eye</w:t>
            </w:r>
          </w:p>
        </w:tc>
        <w:tc>
          <w:tcPr>
            <w:tcW w:w="2835" w:type="dxa"/>
            <w:noWrap/>
            <w:hideMark/>
          </w:tcPr>
          <w:p w14:paraId="4E1BEDAE" w14:textId="77777777" w:rsidR="009D3917" w:rsidRPr="00EC77DD" w:rsidRDefault="009D3917" w:rsidP="00EC77DD">
            <w:pPr>
              <w:spacing w:before="0" w:after="0" w:line="240" w:lineRule="auto"/>
              <w:rPr>
                <w:rFonts w:ascii="Aptos Narrow" w:eastAsia="Times New Roman" w:hAnsi="Aptos Narrow"/>
                <w:color w:val="000000"/>
                <w:sz w:val="22"/>
                <w:szCs w:val="22"/>
              </w:rPr>
            </w:pPr>
            <w:r w:rsidRPr="00EC77DD">
              <w:rPr>
                <w:rFonts w:ascii="Aptos Narrow" w:eastAsia="Times New Roman" w:hAnsi="Aptos Narrow"/>
                <w:color w:val="000000"/>
                <w:sz w:val="22"/>
                <w:szCs w:val="22"/>
              </w:rPr>
              <w:t>General population </w:t>
            </w:r>
          </w:p>
        </w:tc>
      </w:tr>
    </w:tbl>
    <w:p w14:paraId="75EE318D" w14:textId="77777777" w:rsidR="00E71B24" w:rsidRDefault="00E71B24" w:rsidP="007106A2">
      <w:pPr>
        <w:sectPr w:rsidR="00E71B24" w:rsidSect="00BF1606">
          <w:headerReference w:type="first" r:id="rId47"/>
          <w:pgSz w:w="16838" w:h="11906" w:orient="landscape" w:code="9"/>
          <w:pgMar w:top="720" w:right="720" w:bottom="720" w:left="720" w:header="510" w:footer="510" w:gutter="0"/>
          <w:cols w:space="708"/>
          <w:titlePg/>
          <w:docGrid w:linePitch="360"/>
        </w:sectPr>
      </w:pPr>
    </w:p>
    <w:p w14:paraId="66480830" w14:textId="77777777" w:rsidR="00221DEE" w:rsidRDefault="00221DEE" w:rsidP="00221DEE">
      <w:pPr>
        <w:pStyle w:val="AppendixNumbered"/>
        <w:numPr>
          <w:ilvl w:val="0"/>
          <w:numId w:val="19"/>
        </w:numPr>
      </w:pPr>
      <w:bookmarkStart w:id="10" w:name="_Toc228953741"/>
      <w:r>
        <w:lastRenderedPageBreak/>
        <w:t>Publicly available references to the case studies</w:t>
      </w:r>
      <w:bookmarkEnd w:id="10"/>
    </w:p>
    <w:p w14:paraId="746F00B0" w14:textId="77777777" w:rsidR="00221DEE" w:rsidRDefault="00221DEE" w:rsidP="00221DEE">
      <w:r>
        <w:t>Below are some examples of links to the case studies from sources other than websites belonging to NHMRC:</w:t>
      </w:r>
    </w:p>
    <w:p w14:paraId="617A4550" w14:textId="5B56AF26" w:rsidR="00221DEE" w:rsidRDefault="00221DEE" w:rsidP="00221DEE">
      <w:r w:rsidRPr="00260DDF">
        <w:rPr>
          <w:b/>
          <w:bCs/>
        </w:rPr>
        <w:t>November 2025</w:t>
      </w:r>
      <w:r>
        <w:t xml:space="preserve"> - </w:t>
      </w:r>
      <w:r w:rsidRPr="00AE6360">
        <w:t>Encyclopedia of Australian Science and Innovation</w:t>
      </w:r>
      <w:r w:rsidR="00B711F9">
        <w:br/>
      </w:r>
      <w:hyperlink r:id="rId48" w:history="1">
        <w:r w:rsidRPr="00470A98">
          <w:rPr>
            <w:rStyle w:val="Hyperlink"/>
          </w:rPr>
          <w:t>Resource Section - A revolution in protein sequencing: Case Study</w:t>
        </w:r>
      </w:hyperlink>
    </w:p>
    <w:p w14:paraId="2AC20520" w14:textId="3FF3FE46" w:rsidR="00221DEE" w:rsidRDefault="00221DEE" w:rsidP="00221DEE">
      <w:r w:rsidRPr="00260DDF">
        <w:rPr>
          <w:b/>
          <w:bCs/>
        </w:rPr>
        <w:t>August 2025</w:t>
      </w:r>
      <w:r>
        <w:t xml:space="preserve"> – Macquarie University</w:t>
      </w:r>
      <w:r w:rsidR="00B711F9">
        <w:br/>
      </w:r>
      <w:hyperlink r:id="rId49" w:history="1">
        <w:r w:rsidRPr="00C10F90">
          <w:rPr>
            <w:rStyle w:val="Hyperlink"/>
          </w:rPr>
          <w:t>Global recognition for Cool Kids program - Macquarie University</w:t>
        </w:r>
      </w:hyperlink>
    </w:p>
    <w:p w14:paraId="704B6826" w14:textId="5F46061D" w:rsidR="00221DEE" w:rsidRDefault="00221DEE" w:rsidP="00221DEE">
      <w:r w:rsidRPr="00260DDF">
        <w:rPr>
          <w:b/>
          <w:bCs/>
        </w:rPr>
        <w:t>July 2025</w:t>
      </w:r>
      <w:r>
        <w:t xml:space="preserve"> – NSW Therapeutic Advisory Group</w:t>
      </w:r>
      <w:r w:rsidR="00B711F9">
        <w:br/>
      </w:r>
      <w:hyperlink r:id="rId50" w:history="1">
        <w:r w:rsidRPr="00596E20">
          <w:rPr>
            <w:rStyle w:val="Hyperlink"/>
          </w:rPr>
          <w:t>Cumulative-Listing-July_Dec-2025.pdf</w:t>
        </w:r>
      </w:hyperlink>
    </w:p>
    <w:p w14:paraId="17E77D9B" w14:textId="526E5223" w:rsidR="00221DEE" w:rsidRDefault="00221DEE" w:rsidP="00221DEE">
      <w:r w:rsidRPr="00260DDF">
        <w:rPr>
          <w:b/>
          <w:bCs/>
        </w:rPr>
        <w:t>August 2024</w:t>
      </w:r>
      <w:r>
        <w:t xml:space="preserve"> – Australian Catholic University</w:t>
      </w:r>
      <w:r w:rsidR="00B711F9">
        <w:br/>
      </w:r>
      <w:hyperlink r:id="rId51" w:history="1">
        <w:r w:rsidRPr="0083550E">
          <w:rPr>
            <w:rStyle w:val="Hyperlink"/>
          </w:rPr>
          <w:t>Australian Catholic University (ACU)</w:t>
        </w:r>
      </w:hyperlink>
    </w:p>
    <w:p w14:paraId="26CA6A44" w14:textId="456A1E75" w:rsidR="00221DEE" w:rsidRDefault="00221DEE" w:rsidP="00221DEE">
      <w:r w:rsidRPr="00260DDF">
        <w:rPr>
          <w:b/>
          <w:bCs/>
        </w:rPr>
        <w:t>July 2024</w:t>
      </w:r>
      <w:r>
        <w:t xml:space="preserve"> – University of New South Wales</w:t>
      </w:r>
      <w:r w:rsidR="00B711F9">
        <w:br/>
      </w:r>
      <w:hyperlink r:id="rId52" w:history="1">
        <w:r w:rsidRPr="000A0B27">
          <w:rPr>
            <w:rStyle w:val="Hyperlink"/>
          </w:rPr>
          <w:t>NHMRC have released an impact case study exploring the improved outcomes in childhood leukaemia</w:t>
        </w:r>
      </w:hyperlink>
    </w:p>
    <w:p w14:paraId="3E5B8D11" w14:textId="373E5A00" w:rsidR="00221DEE" w:rsidRDefault="00221DEE" w:rsidP="00221DEE">
      <w:r w:rsidRPr="00260DDF">
        <w:rPr>
          <w:b/>
          <w:bCs/>
        </w:rPr>
        <w:t>2024</w:t>
      </w:r>
      <w:r>
        <w:t xml:space="preserve"> – SAHMRI</w:t>
      </w:r>
      <w:r w:rsidR="00B711F9">
        <w:br/>
      </w:r>
      <w:hyperlink r:id="rId53" w:history="1">
        <w:r w:rsidRPr="00966F87">
          <w:rPr>
            <w:rStyle w:val="Hyperlink"/>
          </w:rPr>
          <w:t>NHMRC Impact Case Study - Preterm births and omega-3 - SAHMRI</w:t>
        </w:r>
      </w:hyperlink>
    </w:p>
    <w:p w14:paraId="593FA143" w14:textId="3F132AC8" w:rsidR="00221DEE" w:rsidRDefault="00221DEE" w:rsidP="00221DEE">
      <w:r w:rsidRPr="00260DDF">
        <w:rPr>
          <w:b/>
          <w:bCs/>
        </w:rPr>
        <w:t>September 2023</w:t>
      </w:r>
      <w:r>
        <w:t xml:space="preserve"> - </w:t>
      </w:r>
      <w:r w:rsidRPr="00AE6360">
        <w:t>Australasian Society of Clinical Immunology and Allergy (ASCIA)</w:t>
      </w:r>
      <w:r w:rsidR="00B711F9">
        <w:br/>
      </w:r>
      <w:hyperlink r:id="rId54" w:history="1">
        <w:r w:rsidRPr="00470A98">
          <w:rPr>
            <w:rStyle w:val="Hyperlink"/>
          </w:rPr>
          <w:t xml:space="preserve">AusPollen partnership impact case study published by NHMRC - September 2023 </w:t>
        </w:r>
      </w:hyperlink>
    </w:p>
    <w:p w14:paraId="791A6A3E" w14:textId="7E51366D" w:rsidR="00221DEE" w:rsidRDefault="00221DEE" w:rsidP="00221DEE">
      <w:r w:rsidRPr="00260DDF">
        <w:rPr>
          <w:b/>
          <w:bCs/>
        </w:rPr>
        <w:t>August 2023</w:t>
      </w:r>
      <w:r>
        <w:t xml:space="preserve"> – Queensland University of Technology</w:t>
      </w:r>
      <w:r w:rsidR="00B711F9">
        <w:br/>
      </w:r>
      <w:hyperlink r:id="rId55" w:history="1">
        <w:r w:rsidRPr="00431B44">
          <w:rPr>
            <w:rStyle w:val="Hyperlink"/>
          </w:rPr>
          <w:t>NHMRC Recognition for AusPollen Partnership led by Professor Janet Davies - Centre for Immunology and Infection Control</w:t>
        </w:r>
      </w:hyperlink>
    </w:p>
    <w:p w14:paraId="056AC3BD" w14:textId="79924E18" w:rsidR="00221DEE" w:rsidRDefault="00221DEE" w:rsidP="00221DEE">
      <w:r w:rsidRPr="00260DDF">
        <w:rPr>
          <w:b/>
          <w:bCs/>
        </w:rPr>
        <w:t>June 2023</w:t>
      </w:r>
      <w:r>
        <w:t xml:space="preserve"> – OECD</w:t>
      </w:r>
      <w:r w:rsidR="00B711F9">
        <w:br/>
      </w:r>
      <w:hyperlink r:id="rId56" w:history="1">
        <w:r w:rsidRPr="006F6169">
          <w:rPr>
            <w:rStyle w:val="Hyperlink"/>
          </w:rPr>
          <w:t>NATIONAL HEALTH AND MEDICAL RESEARCH IMPACT CASE STUDIES | STIP Compass</w:t>
        </w:r>
      </w:hyperlink>
    </w:p>
    <w:p w14:paraId="6BE3DCD5" w14:textId="3F8A82CD" w:rsidR="00221DEE" w:rsidRDefault="00221DEE" w:rsidP="00221DEE">
      <w:r w:rsidRPr="00260DDF">
        <w:rPr>
          <w:b/>
          <w:bCs/>
        </w:rPr>
        <w:t>June 2023</w:t>
      </w:r>
      <w:r>
        <w:t xml:space="preserve"> – Australasian Research Management Society</w:t>
      </w:r>
      <w:r w:rsidR="00B711F9">
        <w:br/>
      </w:r>
      <w:hyperlink r:id="rId57" w:history="1">
        <w:r w:rsidRPr="00087CA9">
          <w:rPr>
            <w:rStyle w:val="Hyperlink"/>
          </w:rPr>
          <w:t>PD Sessions @ Zoom: Impact: the stuff that dreams are made of - ARMS</w:t>
        </w:r>
      </w:hyperlink>
    </w:p>
    <w:p w14:paraId="1F9BD9E8" w14:textId="4E0113ED" w:rsidR="00221DEE" w:rsidRDefault="00221DEE" w:rsidP="00221DEE">
      <w:r w:rsidRPr="00260DDF">
        <w:rPr>
          <w:b/>
          <w:bCs/>
        </w:rPr>
        <w:t>2023</w:t>
      </w:r>
      <w:r>
        <w:t xml:space="preserve"> – Queensland University of Technology</w:t>
      </w:r>
      <w:r w:rsidR="00B711F9">
        <w:br/>
      </w:r>
      <w:hyperlink r:id="rId58" w:history="1">
        <w:r w:rsidRPr="00222CAC">
          <w:rPr>
            <w:rStyle w:val="Hyperlink"/>
          </w:rPr>
          <w:t>QUT - Academic profiles - Professor Janet Davies</w:t>
        </w:r>
      </w:hyperlink>
    </w:p>
    <w:p w14:paraId="39035CF1" w14:textId="388AC9D2" w:rsidR="00221DEE" w:rsidRDefault="00221DEE" w:rsidP="00221DEE">
      <w:r w:rsidRPr="00260DDF">
        <w:rPr>
          <w:b/>
          <w:bCs/>
        </w:rPr>
        <w:t>March-April 2022</w:t>
      </w:r>
      <w:r>
        <w:t xml:space="preserve"> – Health Translation SA</w:t>
      </w:r>
      <w:r w:rsidR="00B711F9">
        <w:br/>
      </w:r>
      <w:hyperlink r:id="rId59" w:history="1">
        <w:r w:rsidRPr="00376CEA">
          <w:rPr>
            <w:rStyle w:val="Hyperlink"/>
          </w:rPr>
          <w:t>Spotlight-Series-Research-Impact_Content-Summary.pdf</w:t>
        </w:r>
      </w:hyperlink>
    </w:p>
    <w:p w14:paraId="51116437" w14:textId="55E8EC75" w:rsidR="00221DEE" w:rsidRDefault="00221DEE" w:rsidP="00221DEE">
      <w:r w:rsidRPr="00260DDF">
        <w:rPr>
          <w:b/>
          <w:bCs/>
        </w:rPr>
        <w:t>November 2021</w:t>
      </w:r>
      <w:r>
        <w:t xml:space="preserve"> – Government of Western Australia </w:t>
      </w:r>
      <w:r w:rsidR="00B711F9">
        <w:br/>
      </w:r>
      <w:hyperlink r:id="rId60" w:history="1">
        <w:r>
          <w:rPr>
            <w:rStyle w:val="Hyperlink"/>
          </w:rPr>
          <w:t>CAHS Research Education Program</w:t>
        </w:r>
        <w:r w:rsidRPr="00460520">
          <w:rPr>
            <w:rStyle w:val="Hyperlink"/>
          </w:rPr>
          <w:t xml:space="preserve"> Seminar Handout</w:t>
        </w:r>
      </w:hyperlink>
    </w:p>
    <w:p w14:paraId="233E6394" w14:textId="2F792B0C" w:rsidR="00221DEE" w:rsidRDefault="00221DEE" w:rsidP="00221DEE">
      <w:r w:rsidRPr="00260DDF">
        <w:rPr>
          <w:b/>
          <w:bCs/>
        </w:rPr>
        <w:t>March 2021</w:t>
      </w:r>
      <w:r>
        <w:t xml:space="preserve"> – Guidelines International Network</w:t>
      </w:r>
      <w:r w:rsidR="00B711F9">
        <w:br/>
      </w:r>
      <w:hyperlink r:id="rId61" w:history="1">
        <w:r w:rsidRPr="008012D6">
          <w:rPr>
            <w:rStyle w:val="Hyperlink"/>
          </w:rPr>
          <w:t>Guidelines and impact: the art of storytelling - GIN</w:t>
        </w:r>
      </w:hyperlink>
    </w:p>
    <w:p w14:paraId="1AA15931" w14:textId="6042F337" w:rsidR="001E212B" w:rsidRPr="00BF1606" w:rsidRDefault="00221DEE" w:rsidP="00221DEE">
      <w:r w:rsidRPr="00260DDF">
        <w:rPr>
          <w:b/>
          <w:bCs/>
        </w:rPr>
        <w:t>December 2020</w:t>
      </w:r>
      <w:r>
        <w:t xml:space="preserve"> – University of Melbourne</w:t>
      </w:r>
      <w:r w:rsidR="00B711F9">
        <w:br/>
      </w:r>
      <w:hyperlink r:id="rId62" w:history="1">
        <w:r w:rsidRPr="00B8406C">
          <w:rPr>
            <w:rStyle w:val="Hyperlink"/>
          </w:rPr>
          <w:t>Life-saving work of Venom Unit highlighted in NHMRC Case Study</w:t>
        </w:r>
      </w:hyperlink>
    </w:p>
    <w:sectPr w:rsidR="001E212B" w:rsidRPr="00BF1606" w:rsidSect="00E71B24">
      <w:pgSz w:w="11906" w:h="16838" w:code="9"/>
      <w:pgMar w:top="1814" w:right="1134" w:bottom="1565" w:left="907"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20838" w14:textId="77777777" w:rsidR="0037359C" w:rsidRDefault="0037359C">
      <w:pPr>
        <w:spacing w:before="0" w:after="0" w:line="240" w:lineRule="auto"/>
      </w:pPr>
      <w:r>
        <w:separator/>
      </w:r>
    </w:p>
  </w:endnote>
  <w:endnote w:type="continuationSeparator" w:id="0">
    <w:p w14:paraId="35A69929" w14:textId="77777777" w:rsidR="0037359C" w:rsidRDefault="003735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Gotham Book">
    <w:altName w:val="Gotham Book"/>
    <w:panose1 w:val="00000000000000000000"/>
    <w:charset w:val="00"/>
    <w:family w:val="modern"/>
    <w:notTrueType/>
    <w:pitch w:val="variable"/>
    <w:sig w:usb0="A00002FF" w:usb1="4000005B" w:usb2="00000000" w:usb3="00000000" w:csb0="0000009F" w:csb1="00000000"/>
  </w:font>
  <w:font w:name="Gotham Medium">
    <w:panose1 w:val="00000000000000000000"/>
    <w:charset w:val="00"/>
    <w:family w:val="modern"/>
    <w:notTrueType/>
    <w:pitch w:val="variable"/>
    <w:sig w:usb0="A00002FF" w:usb1="40000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6C235" w14:textId="41E340FB" w:rsidR="008117EB" w:rsidRDefault="008117EB">
    <w:pPr>
      <w:pStyle w:val="Footer"/>
    </w:pPr>
    <w:r>
      <w:rPr>
        <w:noProof/>
      </w:rPr>
      <mc:AlternateContent>
        <mc:Choice Requires="wps">
          <w:drawing>
            <wp:anchor distT="0" distB="0" distL="0" distR="0" simplePos="0" relativeHeight="251663360" behindDoc="0" locked="0" layoutInCell="1" allowOverlap="1" wp14:anchorId="4640C1AA" wp14:editId="0D65699B">
              <wp:simplePos x="635" y="635"/>
              <wp:positionH relativeFrom="page">
                <wp:align>left</wp:align>
              </wp:positionH>
              <wp:positionV relativeFrom="page">
                <wp:align>bottom</wp:align>
              </wp:positionV>
              <wp:extent cx="772795" cy="444500"/>
              <wp:effectExtent l="0" t="0" r="8255" b="0"/>
              <wp:wrapNone/>
              <wp:docPr id="132500910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3AB3FB83" w14:textId="25C49AFF"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40C1AA" id="_x0000_t202" coordsize="21600,21600" o:spt="202" path="m,l,21600r21600,l21600,xe">
              <v:stroke joinstyle="miter"/>
              <v:path gradientshapeok="t" o:connecttype="rect"/>
            </v:shapetype>
            <v:shape id="Text Box 7" o:spid="_x0000_s1029" type="#_x0000_t202" alt="OFFICIAL" style="position:absolute;margin-left:0;margin-top:0;width:60.85pt;height:3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ouFAIAACE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Vcknw/Q7qE60lIcz38HJdUOtNyLgk/BEMO1B&#10;osVHOrSBruRwsTirwf/8mz/mE+4U5awjwZTckqI5M98t8TGZTXPam2G6keEHY5eM8U0ecWH20N4B&#10;aXFMz8LJZMZkNIOpPbQvpOlV7EYhYSX1LPluMO/wLF96E1KtVimJtOQEbuzWyVg6YhYBfe5fhHcX&#10;1JHoeoBBUqJ4B/45N/4Z3OqAREFiJuJ7RvMCO+kwEXZ5M1Hob+8p6/qyl78A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PUMKi4U&#10;AgAAIQQAAA4AAAAAAAAAAAAAAAAALgIAAGRycy9lMm9Eb2MueG1sUEsBAi0AFAAGAAgAAAAhAA29&#10;vV/ZAAAABAEAAA8AAAAAAAAAAAAAAAAAbgQAAGRycy9kb3ducmV2LnhtbFBLBQYAAAAABAAEAPMA&#10;AAB0BQAAAAA=&#10;" filled="f" stroked="f">
              <v:fill o:detectmouseclick="t"/>
              <v:textbox style="mso-fit-shape-to-text:t" inset="20pt,0,0,15pt">
                <w:txbxContent>
                  <w:p w14:paraId="3AB3FB83" w14:textId="25C49AFF"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24" w:type="dxa"/>
      <w:tblLayout w:type="fixed"/>
      <w:tblLook w:val="04A0" w:firstRow="1" w:lastRow="0" w:firstColumn="1" w:lastColumn="0" w:noHBand="0" w:noVBand="1"/>
    </w:tblPr>
    <w:tblGrid>
      <w:gridCol w:w="1736"/>
      <w:gridCol w:w="7422"/>
      <w:gridCol w:w="1366"/>
    </w:tblGrid>
    <w:tr w:rsidR="002308EE" w:rsidRPr="00FF1AAF" w14:paraId="04C128C8" w14:textId="77777777" w:rsidTr="001115AB">
      <w:tc>
        <w:tcPr>
          <w:tcW w:w="1736" w:type="dxa"/>
        </w:tcPr>
        <w:p w14:paraId="02D29E40" w14:textId="08E61F89" w:rsidR="002308EE" w:rsidRPr="00FF1AAF" w:rsidRDefault="008117EB" w:rsidP="002308EE">
          <w:pPr>
            <w:pStyle w:val="Footer"/>
            <w:tabs>
              <w:tab w:val="clear" w:pos="4513"/>
              <w:tab w:val="clear" w:pos="9026"/>
              <w:tab w:val="center" w:pos="7230"/>
              <w:tab w:val="right" w:pos="10206"/>
            </w:tabs>
            <w:rPr>
              <w:rFonts w:ascii="Gotham Book" w:hAnsi="Gotham Book" w:cs="Arial"/>
              <w:sz w:val="18"/>
            </w:rPr>
          </w:pPr>
          <w:r>
            <w:rPr>
              <w:rFonts w:ascii="Gotham Book" w:hAnsi="Gotham Book" w:cs="Arial"/>
              <w:noProof/>
              <w:sz w:val="18"/>
            </w:rPr>
            <mc:AlternateContent>
              <mc:Choice Requires="wps">
                <w:drawing>
                  <wp:anchor distT="0" distB="0" distL="0" distR="0" simplePos="0" relativeHeight="251664384" behindDoc="0" locked="0" layoutInCell="1" allowOverlap="1" wp14:anchorId="7F548EBA" wp14:editId="296328A0">
                    <wp:simplePos x="647700" y="9610725"/>
                    <wp:positionH relativeFrom="page">
                      <wp:align>left</wp:align>
                    </wp:positionH>
                    <wp:positionV relativeFrom="page">
                      <wp:align>bottom</wp:align>
                    </wp:positionV>
                    <wp:extent cx="772795" cy="444500"/>
                    <wp:effectExtent l="0" t="0" r="8255" b="0"/>
                    <wp:wrapNone/>
                    <wp:docPr id="137769116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2CFC972F" w14:textId="7140A217"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548EBA" id="_x0000_t202" coordsize="21600,21600" o:spt="202" path="m,l,21600r21600,l21600,xe">
                    <v:stroke joinstyle="miter"/>
                    <v:path gradientshapeok="t" o:connecttype="rect"/>
                  </v:shapetype>
                  <v:shape id="Text Box 8" o:spid="_x0000_s1030" type="#_x0000_t202" alt="OFFICIAL" style="position:absolute;margin-left:0;margin-top:0;width:60.85pt;height:3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AWDq6YU&#10;AgAAIQQAAA4AAAAAAAAAAAAAAAAALgIAAGRycy9lMm9Eb2MueG1sUEsBAi0AFAAGAAgAAAAhAA29&#10;vV/ZAAAABAEAAA8AAAAAAAAAAAAAAAAAbgQAAGRycy9kb3ducmV2LnhtbFBLBQYAAAAABAAEAPMA&#10;AAB0BQAAAAA=&#10;" filled="f" stroked="f">
                    <v:fill o:detectmouseclick="t"/>
                    <v:textbox style="mso-fit-shape-to-text:t" inset="20pt,0,0,15pt">
                      <w:txbxContent>
                        <w:p w14:paraId="2CFC972F" w14:textId="7140A217"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v:textbox>
                    <w10:wrap anchorx="page" anchory="page"/>
                  </v:shape>
                </w:pict>
              </mc:Fallback>
            </mc:AlternateContent>
          </w:r>
        </w:p>
      </w:tc>
      <w:tc>
        <w:tcPr>
          <w:tcW w:w="7422" w:type="dxa"/>
        </w:tcPr>
        <w:p w14:paraId="650DB43F"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Pr>
        <w:p w14:paraId="59C8BB2A"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3E14037D" w14:textId="77777777" w:rsidTr="001115AB">
      <w:tc>
        <w:tcPr>
          <w:tcW w:w="1736" w:type="dxa"/>
        </w:tcPr>
        <w:p w14:paraId="01463110"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Pr>
        <w:p w14:paraId="7CD4F353" w14:textId="7AB392BD" w:rsidR="002308EE" w:rsidRPr="00114AE3" w:rsidRDefault="00DC6F20" w:rsidP="002308EE">
          <w:pPr>
            <w:pStyle w:val="SecurityDLM"/>
            <w:spacing w:after="0" w:line="240" w:lineRule="auto"/>
            <w:ind w:left="0"/>
            <w:jc w:val="right"/>
            <w:rPr>
              <w:rFonts w:cs="Arial"/>
              <w:color w:val="404040" w:themeColor="text1" w:themeTint="BF"/>
              <w:sz w:val="18"/>
            </w:rPr>
          </w:pPr>
          <w:r w:rsidRPr="00114AE3">
            <w:rPr>
              <w:color w:val="404040" w:themeColor="text1" w:themeTint="BF"/>
            </w:rPr>
            <w:t>OFFICIAL</w:t>
          </w:r>
        </w:p>
      </w:tc>
      <w:tc>
        <w:tcPr>
          <w:tcW w:w="1366" w:type="dxa"/>
        </w:tcPr>
        <w:p w14:paraId="1087A00E"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35B483B6" wp14:editId="692DA63F">
                <wp:extent cx="617855" cy="380365"/>
                <wp:effectExtent l="0" t="0" r="0" b="635"/>
                <wp:docPr id="19" name="Picture 19"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20D6BA6A"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24" w:type="dxa"/>
      <w:tblLayout w:type="fixed"/>
      <w:tblLook w:val="04A0" w:firstRow="1" w:lastRow="0" w:firstColumn="1" w:lastColumn="0" w:noHBand="0" w:noVBand="1"/>
    </w:tblPr>
    <w:tblGrid>
      <w:gridCol w:w="1452"/>
      <w:gridCol w:w="7706"/>
      <w:gridCol w:w="1366"/>
    </w:tblGrid>
    <w:tr w:rsidR="002308EE" w:rsidRPr="00306350" w14:paraId="6660B1D8" w14:textId="77777777" w:rsidTr="00306350">
      <w:tc>
        <w:tcPr>
          <w:tcW w:w="1452" w:type="dxa"/>
        </w:tcPr>
        <w:p w14:paraId="03874F1B" w14:textId="3DF514BD" w:rsidR="002308EE" w:rsidRPr="00306350" w:rsidRDefault="008117EB" w:rsidP="002308EE">
          <w:pPr>
            <w:pStyle w:val="Footer"/>
            <w:tabs>
              <w:tab w:val="clear" w:pos="4513"/>
              <w:tab w:val="clear" w:pos="9026"/>
              <w:tab w:val="center" w:pos="7230"/>
              <w:tab w:val="right" w:pos="10206"/>
            </w:tabs>
            <w:rPr>
              <w:rFonts w:ascii="Gotham Book" w:hAnsi="Gotham Book" w:cs="Arial"/>
              <w:color w:val="404040" w:themeColor="text1" w:themeTint="BF"/>
              <w:sz w:val="18"/>
            </w:rPr>
          </w:pPr>
          <w:r>
            <w:rPr>
              <w:rFonts w:ascii="Gotham Book" w:hAnsi="Gotham Book" w:cs="Arial"/>
              <w:noProof/>
              <w:color w:val="404040" w:themeColor="text1" w:themeTint="BF"/>
              <w:sz w:val="18"/>
            </w:rPr>
            <mc:AlternateContent>
              <mc:Choice Requires="wps">
                <w:drawing>
                  <wp:anchor distT="0" distB="0" distL="0" distR="0" simplePos="0" relativeHeight="251662336" behindDoc="0" locked="0" layoutInCell="1" allowOverlap="1" wp14:anchorId="7E297225" wp14:editId="1BD59579">
                    <wp:simplePos x="647700" y="9610725"/>
                    <wp:positionH relativeFrom="page">
                      <wp:align>left</wp:align>
                    </wp:positionH>
                    <wp:positionV relativeFrom="page">
                      <wp:align>bottom</wp:align>
                    </wp:positionV>
                    <wp:extent cx="772795" cy="444500"/>
                    <wp:effectExtent l="0" t="0" r="8255" b="0"/>
                    <wp:wrapNone/>
                    <wp:docPr id="17858043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2EEF5290" w14:textId="2E3F2951"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297225" id="_x0000_t202" coordsize="21600,21600" o:spt="202" path="m,l,21600r21600,l21600,xe">
                    <v:stroke joinstyle="miter"/>
                    <v:path gradientshapeok="t" o:connecttype="rect"/>
                  </v:shapetype>
                  <v:shape id="Text Box 6" o:spid="_x0000_s1032" type="#_x0000_t202" alt="OFFICIAL" style="position:absolute;margin-left:0;margin-top:0;width:60.85pt;height:3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wjFAIAACE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Vclnw/Q7qE60lIcz38HJdUOtNyLgk/BEMO1B&#10;osVHOrSBruRwsTirwf/8mz/mE+4U5awjwZTckqI5M98t8TGZTXPam2G6keEHY5eM8U0ecWH20N4B&#10;aXFMz8LJZMZkNIOpPbQvpOlV7EYhYSX1LPluMO/wLF96E1KtVimJtOQEbuzWyVg6YhYBfe5fhHcX&#10;1JHoeoBBUqJ4B/45N/4Z3OqAREFiJuJ7RvMCO+kwEXZ5M1Hob+8p6/qyl78A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KevTCMU&#10;AgAAIQQAAA4AAAAAAAAAAAAAAAAALgIAAGRycy9lMm9Eb2MueG1sUEsBAi0AFAAGAAgAAAAhAA29&#10;vV/ZAAAABAEAAA8AAAAAAAAAAAAAAAAAbgQAAGRycy9kb3ducmV2LnhtbFBLBQYAAAAABAAEAPMA&#10;AAB0BQAAAAA=&#10;" filled="f" stroked="f">
                    <v:fill o:detectmouseclick="t"/>
                    <v:textbox style="mso-fit-shape-to-text:t" inset="20pt,0,0,15pt">
                      <w:txbxContent>
                        <w:p w14:paraId="2EEF5290" w14:textId="2E3F2951"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v:textbox>
                    <w10:wrap anchorx="page" anchory="page"/>
                  </v:shape>
                </w:pict>
              </mc:Fallback>
            </mc:AlternateContent>
          </w:r>
        </w:p>
      </w:tc>
      <w:tc>
        <w:tcPr>
          <w:tcW w:w="7706" w:type="dxa"/>
        </w:tcPr>
        <w:p w14:paraId="78F271D5" w14:textId="77777777" w:rsidR="002308EE" w:rsidRPr="00306350" w:rsidRDefault="002308EE" w:rsidP="002308EE">
          <w:pPr>
            <w:pStyle w:val="Footer"/>
            <w:tabs>
              <w:tab w:val="clear" w:pos="4513"/>
              <w:tab w:val="clear" w:pos="9026"/>
              <w:tab w:val="center" w:pos="7230"/>
              <w:tab w:val="right" w:pos="10206"/>
            </w:tabs>
            <w:rPr>
              <w:rFonts w:ascii="Gotham Book" w:hAnsi="Gotham Book" w:cs="Arial"/>
              <w:color w:val="404040" w:themeColor="text1" w:themeTint="BF"/>
              <w:sz w:val="18"/>
            </w:rPr>
          </w:pPr>
        </w:p>
      </w:tc>
      <w:tc>
        <w:tcPr>
          <w:tcW w:w="1366" w:type="dxa"/>
        </w:tcPr>
        <w:p w14:paraId="0805ECF9" w14:textId="77777777" w:rsidR="002308EE" w:rsidRPr="00306350" w:rsidRDefault="002308EE" w:rsidP="002308EE">
          <w:pPr>
            <w:pStyle w:val="Footer"/>
            <w:tabs>
              <w:tab w:val="clear" w:pos="4513"/>
              <w:tab w:val="clear" w:pos="9026"/>
              <w:tab w:val="center" w:pos="7230"/>
              <w:tab w:val="right" w:pos="10206"/>
            </w:tabs>
            <w:rPr>
              <w:rFonts w:ascii="Gotham Book" w:hAnsi="Gotham Book" w:cs="Arial"/>
              <w:color w:val="404040" w:themeColor="text1" w:themeTint="BF"/>
              <w:sz w:val="18"/>
            </w:rPr>
          </w:pPr>
        </w:p>
      </w:tc>
    </w:tr>
    <w:tr w:rsidR="002308EE" w:rsidRPr="00FF1AAF" w14:paraId="21CC0073" w14:textId="77777777" w:rsidTr="00306350">
      <w:tc>
        <w:tcPr>
          <w:tcW w:w="1452" w:type="dxa"/>
        </w:tcPr>
        <w:p w14:paraId="26939DD0"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Pr>
        <w:p w14:paraId="0819EF16" w14:textId="32FCEF11" w:rsidR="002308EE" w:rsidRPr="00114AE3" w:rsidRDefault="00DC6F20" w:rsidP="002308EE">
          <w:pPr>
            <w:pStyle w:val="SecurityDLM"/>
            <w:spacing w:after="0" w:line="240" w:lineRule="auto"/>
            <w:ind w:left="0"/>
            <w:jc w:val="right"/>
            <w:rPr>
              <w:rFonts w:cs="Arial"/>
              <w:color w:val="404040" w:themeColor="text1" w:themeTint="BF"/>
              <w:sz w:val="18"/>
            </w:rPr>
          </w:pPr>
          <w:r w:rsidRPr="00114AE3">
            <w:rPr>
              <w:color w:val="404040" w:themeColor="text1" w:themeTint="BF"/>
            </w:rPr>
            <w:t>OFFICIAL</w:t>
          </w:r>
        </w:p>
      </w:tc>
      <w:tc>
        <w:tcPr>
          <w:tcW w:w="1366" w:type="dxa"/>
        </w:tcPr>
        <w:p w14:paraId="65F5CD25"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4D7BF9AF" wp14:editId="282693CE">
                <wp:extent cx="617855" cy="380365"/>
                <wp:effectExtent l="0" t="0" r="0" b="635"/>
                <wp:docPr id="90" name="Picture 9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2A3A06DB"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52BDB" w14:textId="77777777" w:rsidR="0037359C" w:rsidRDefault="0037359C" w:rsidP="007A386A">
      <w:pPr>
        <w:spacing w:after="0" w:line="240" w:lineRule="auto"/>
      </w:pPr>
      <w:r>
        <w:separator/>
      </w:r>
    </w:p>
  </w:footnote>
  <w:footnote w:type="continuationSeparator" w:id="0">
    <w:p w14:paraId="14EE39FF" w14:textId="77777777" w:rsidR="0037359C" w:rsidRDefault="0037359C" w:rsidP="007A386A">
      <w:pPr>
        <w:spacing w:after="0" w:line="240" w:lineRule="auto"/>
      </w:pPr>
      <w:r>
        <w:continuationSeparator/>
      </w:r>
    </w:p>
  </w:footnote>
  <w:footnote w:id="1">
    <w:p w14:paraId="1AB9C834" w14:textId="77777777" w:rsidR="004B3CCB" w:rsidRPr="00114AE3" w:rsidRDefault="004B3CCB" w:rsidP="004B3CCB">
      <w:pPr>
        <w:pStyle w:val="FootnoteText"/>
        <w:rPr>
          <w:color w:val="414044" w:themeColor="accent5" w:themeShade="80"/>
          <w:lang w:val="en-US"/>
        </w:rPr>
      </w:pPr>
      <w:r w:rsidRPr="00114AE3">
        <w:rPr>
          <w:rStyle w:val="FootnoteReference"/>
          <w:color w:val="414044" w:themeColor="accent5" w:themeShade="80"/>
        </w:rPr>
        <w:footnoteRef/>
      </w:r>
      <w:r w:rsidRPr="00114AE3">
        <w:rPr>
          <w:color w:val="414044" w:themeColor="accent5" w:themeShade="80"/>
        </w:rPr>
        <w:t xml:space="preserve"> The Scale of Life category focuses on the scale at which the health intervention affects the individual. That is, how does the health intervention operate to improve health? Does it affect a person at: a molecular, cellular or tissue level (e.g. vaccine, surgery, dentistry); at the level of the whole person (e.g. mental health interventions, screening for bowel cancer); a population level – where the positive health effects depend upon population effects (e.g. built environment, road safety))?</w:t>
      </w:r>
    </w:p>
  </w:footnote>
  <w:footnote w:id="2">
    <w:p w14:paraId="1F24259D" w14:textId="572157E0" w:rsidR="005B4891" w:rsidRPr="00114AE3" w:rsidRDefault="005B4891">
      <w:pPr>
        <w:pStyle w:val="FootnoteText"/>
        <w:rPr>
          <w:color w:val="414044" w:themeColor="accent5" w:themeShade="80"/>
          <w:lang w:val="en-US"/>
        </w:rPr>
      </w:pPr>
      <w:r w:rsidRPr="00114AE3">
        <w:rPr>
          <w:rStyle w:val="FootnoteReference"/>
          <w:color w:val="414044" w:themeColor="accent5" w:themeShade="80"/>
        </w:rPr>
        <w:footnoteRef/>
      </w:r>
      <w:r w:rsidRPr="00114AE3">
        <w:rPr>
          <w:color w:val="414044" w:themeColor="accent5" w:themeShade="80"/>
        </w:rPr>
        <w:t xml:space="preserve"> </w:t>
      </w:r>
      <w:r w:rsidR="00DC19C7" w:rsidRPr="00114AE3">
        <w:rPr>
          <w:color w:val="414044" w:themeColor="accent5" w:themeShade="80"/>
        </w:rPr>
        <w:t xml:space="preserve">The modal figure shown in the chart is </w:t>
      </w:r>
      <w:r w:rsidR="00A40646" w:rsidRPr="00114AE3">
        <w:rPr>
          <w:color w:val="414044" w:themeColor="accent5" w:themeShade="80"/>
        </w:rPr>
        <w:t>of a similar order to that reported in other contexts. For example, o</w:t>
      </w:r>
      <w:r w:rsidR="0065623D" w:rsidRPr="00114AE3">
        <w:rPr>
          <w:color w:val="414044" w:themeColor="accent5" w:themeShade="80"/>
        </w:rPr>
        <w:t xml:space="preserve">f </w:t>
      </w:r>
      <w:r w:rsidR="00BB39E1" w:rsidRPr="00114AE3">
        <w:rPr>
          <w:color w:val="414044" w:themeColor="accent5" w:themeShade="80"/>
        </w:rPr>
        <w:t>twenty-eight drugs approved by the Food and Drug Administration (FDA) between 1985 and 2009</w:t>
      </w:r>
      <w:r w:rsidR="0065623D" w:rsidRPr="00114AE3">
        <w:rPr>
          <w:color w:val="414044" w:themeColor="accent5" w:themeShade="80"/>
        </w:rPr>
        <w:t xml:space="preserve">, </w:t>
      </w:r>
      <w:r w:rsidR="00BB39E1" w:rsidRPr="00114AE3">
        <w:rPr>
          <w:color w:val="414044" w:themeColor="accent5" w:themeShade="80"/>
        </w:rPr>
        <w:t>80 percent stemmed directly from basic discoveries</w:t>
      </w:r>
      <w:r w:rsidR="00371EB8" w:rsidRPr="00114AE3">
        <w:rPr>
          <w:color w:val="414044" w:themeColor="accent5" w:themeShade="80"/>
        </w:rPr>
        <w:t>, and o</w:t>
      </w:r>
      <w:r w:rsidR="00BB39E1" w:rsidRPr="00114AE3">
        <w:rPr>
          <w:color w:val="414044" w:themeColor="accent5" w:themeShade="80"/>
        </w:rPr>
        <w:t>n average it took more than three decades for a basic discovery to become an FDA-approved drug</w:t>
      </w:r>
      <w:r w:rsidRPr="00114AE3">
        <w:rPr>
          <w:color w:val="414044" w:themeColor="accent5" w:themeShade="80"/>
        </w:rPr>
        <w:t>.</w:t>
      </w:r>
      <w:r w:rsidR="002B4531" w:rsidRPr="00114AE3">
        <w:rPr>
          <w:color w:val="414044" w:themeColor="accent5" w:themeShade="80"/>
        </w:rPr>
        <w:t xml:space="preserve"> </w:t>
      </w:r>
      <w:r w:rsidR="00423433" w:rsidRPr="00114AE3">
        <w:rPr>
          <w:color w:val="414044" w:themeColor="accent5" w:themeShade="80"/>
        </w:rPr>
        <w:t>Refer Spector JM, Harrison RS, Fishman MC. Fundamental science behind today’s important medicines. Science Translational Medicine. 2018 Apr 25;10(438)</w:t>
      </w:r>
    </w:p>
  </w:footnote>
  <w:footnote w:id="3">
    <w:p w14:paraId="6998DAEF" w14:textId="209D1AB3" w:rsidR="00757FE6" w:rsidRPr="00114AE3" w:rsidRDefault="00757FE6">
      <w:pPr>
        <w:pStyle w:val="FootnoteText"/>
        <w:rPr>
          <w:color w:val="414044" w:themeColor="accent5" w:themeShade="80"/>
          <w:lang w:val="en-US"/>
        </w:rPr>
      </w:pPr>
      <w:r w:rsidRPr="00114AE3">
        <w:rPr>
          <w:rStyle w:val="FootnoteReference"/>
          <w:color w:val="414044" w:themeColor="accent5" w:themeShade="80"/>
        </w:rPr>
        <w:footnoteRef/>
      </w:r>
      <w:r w:rsidRPr="00114AE3">
        <w:rPr>
          <w:color w:val="414044" w:themeColor="accent5" w:themeShade="80"/>
        </w:rPr>
        <w:t xml:space="preserve"> The number at the top of each bar shows the number of case studies in that ‘bin’.</w:t>
      </w:r>
    </w:p>
  </w:footnote>
  <w:footnote w:id="4">
    <w:p w14:paraId="66161EA5" w14:textId="77777777" w:rsidR="00112A83" w:rsidRPr="00114AE3" w:rsidRDefault="00112A83" w:rsidP="00112A83">
      <w:pPr>
        <w:pStyle w:val="FootnoteText"/>
        <w:rPr>
          <w:color w:val="414044" w:themeColor="accent5" w:themeShade="80"/>
          <w:lang w:val="en-US"/>
        </w:rPr>
      </w:pPr>
      <w:r w:rsidRPr="00114AE3">
        <w:rPr>
          <w:rStyle w:val="FootnoteReference"/>
          <w:color w:val="414044" w:themeColor="accent5" w:themeShade="80"/>
        </w:rPr>
        <w:footnoteRef/>
      </w:r>
      <w:r w:rsidRPr="00114AE3">
        <w:rPr>
          <w:color w:val="414044" w:themeColor="accent5" w:themeShade="80"/>
        </w:rPr>
        <w:t xml:space="preserve"> The comparison shown in </w:t>
      </w:r>
      <w:r w:rsidRPr="00114AE3">
        <w:rPr>
          <w:color w:val="414044" w:themeColor="accent5" w:themeShade="80"/>
          <w:u w:val="single"/>
        </w:rPr>
        <w:t>Figure 2</w:t>
      </w:r>
      <w:r w:rsidRPr="00114AE3">
        <w:rPr>
          <w:color w:val="414044" w:themeColor="accent5" w:themeShade="80"/>
        </w:rPr>
        <w:t xml:space="preserve"> was developed by analysing the webmetrics associated with all pages: (1) whose title included the text ‘annual report’, (2) that included ‘impact-case-studies’ in their URL, or (3) that included ‘news-centre’ in their URL.</w:t>
      </w:r>
    </w:p>
  </w:footnote>
  <w:footnote w:id="5">
    <w:p w14:paraId="4AC8224C" w14:textId="77777777" w:rsidR="00112A83" w:rsidRPr="007245C8" w:rsidRDefault="00112A83" w:rsidP="00112A83">
      <w:pPr>
        <w:pStyle w:val="FootnoteText"/>
        <w:rPr>
          <w:lang w:val="en-US"/>
        </w:rPr>
      </w:pPr>
      <w:r w:rsidRPr="00114AE3">
        <w:rPr>
          <w:rStyle w:val="FootnoteReference"/>
          <w:color w:val="414044" w:themeColor="accent5" w:themeShade="80"/>
        </w:rPr>
        <w:footnoteRef/>
      </w:r>
      <w:r w:rsidRPr="00114AE3">
        <w:rPr>
          <w:color w:val="414044" w:themeColor="accent5" w:themeShade="80"/>
        </w:rPr>
        <w:t xml:space="preserve"> </w:t>
      </w:r>
      <w:r w:rsidRPr="00114AE3">
        <w:rPr>
          <w:color w:val="414044" w:themeColor="accent5" w:themeShade="80"/>
          <w:lang w:val="en-US"/>
        </w:rPr>
        <w:t xml:space="preserve">Sourced from Australian Bureau of Statistics: </w:t>
      </w:r>
      <w:hyperlink r:id="rId1" w:history="1">
        <w:r w:rsidRPr="00114AE3">
          <w:rPr>
            <w:rStyle w:val="Hyperlink"/>
            <w:color w:val="414044" w:themeColor="accent5" w:themeShade="80"/>
          </w:rPr>
          <w:t>National, state and territory population, March 2025 | Australian Bureau of Statistics</w:t>
        </w:r>
      </w:hyperlink>
    </w:p>
  </w:footnote>
  <w:footnote w:id="6">
    <w:p w14:paraId="7AD88D7B" w14:textId="7E62A199" w:rsidR="00112A83" w:rsidRPr="00D11E8C" w:rsidRDefault="00112A83" w:rsidP="00112A83">
      <w:pPr>
        <w:pStyle w:val="FootnoteText"/>
        <w:rPr>
          <w:lang w:val="en-US"/>
        </w:rPr>
      </w:pPr>
      <w:r>
        <w:rPr>
          <w:rStyle w:val="FootnoteReference"/>
        </w:rPr>
        <w:footnoteRef/>
      </w:r>
      <w:r>
        <w:t xml:space="preserve"> </w:t>
      </w:r>
      <w:r>
        <w:rPr>
          <w:lang w:val="en-US"/>
        </w:rPr>
        <w:t>Some case studies have been published for longer than others</w:t>
      </w:r>
      <w:r w:rsidR="00F31267">
        <w:rPr>
          <w:lang w:val="en-US"/>
        </w:rPr>
        <w:t xml:space="preserve"> (refer Appendix B)</w:t>
      </w:r>
      <w:r w:rsidR="00C10869">
        <w:rPr>
          <w:lang w:val="en-US"/>
        </w:rPr>
        <w:t>. T</w:t>
      </w:r>
      <w:r>
        <w:rPr>
          <w:lang w:val="en-US"/>
        </w:rPr>
        <w:t>he pageview per day statistic is more robust for those case studies that have been online for longer.</w:t>
      </w:r>
    </w:p>
  </w:footnote>
  <w:footnote w:id="7">
    <w:p w14:paraId="60B899A6" w14:textId="5F7B6E32" w:rsidR="00112A83" w:rsidRPr="00096D78" w:rsidRDefault="00112A83" w:rsidP="00112A83">
      <w:pPr>
        <w:pStyle w:val="FootnoteText"/>
        <w:rPr>
          <w:lang w:val="en-US"/>
        </w:rPr>
      </w:pPr>
      <w:r>
        <w:rPr>
          <w:rStyle w:val="FootnoteReference"/>
        </w:rPr>
        <w:footnoteRef/>
      </w:r>
      <w:r>
        <w:t xml:space="preserve">  Note: because the dataset’s pageview count favours case studies that have been published longer (and especially before 18 April 2023 when the dataset begins), these comparisons are biased in favour </w:t>
      </w:r>
      <w:r w:rsidR="005D09CC">
        <w:t xml:space="preserve">of </w:t>
      </w:r>
      <w:r>
        <w:t>older case studies.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00B1" w14:textId="5A7D0831" w:rsidR="008117EB" w:rsidRDefault="008117EB">
    <w:pPr>
      <w:pStyle w:val="Header"/>
    </w:pPr>
    <w:r>
      <w:rPr>
        <w:noProof/>
      </w:rPr>
      <mc:AlternateContent>
        <mc:Choice Requires="wps">
          <w:drawing>
            <wp:anchor distT="0" distB="0" distL="0" distR="0" simplePos="0" relativeHeight="251659264" behindDoc="0" locked="0" layoutInCell="1" allowOverlap="1" wp14:anchorId="09B0372A" wp14:editId="487A168A">
              <wp:simplePos x="635" y="635"/>
              <wp:positionH relativeFrom="page">
                <wp:align>left</wp:align>
              </wp:positionH>
              <wp:positionV relativeFrom="page">
                <wp:align>top</wp:align>
              </wp:positionV>
              <wp:extent cx="772795" cy="444500"/>
              <wp:effectExtent l="0" t="0" r="8255" b="12700"/>
              <wp:wrapNone/>
              <wp:docPr id="108695866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00454BB3" w14:textId="7D75B0F9"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B0372A" id="_x0000_t202" coordsize="21600,21600" o:spt="202" path="m,l,21600r21600,l21600,xe">
              <v:stroke joinstyle="miter"/>
              <v:path gradientshapeok="t" o:connecttype="rect"/>
            </v:shapetype>
            <v:shape id="Text Box 3" o:spid="_x0000_s1027" type="#_x0000_t202" alt="OFFICIAL" style="position:absolute;margin-left:0;margin-top:0;width:60.85pt;height:3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" filled="f" stroked="f">
              <v:fill o:detectmouseclick="t"/>
              <v:textbox style="mso-fit-shape-to-text:t" inset="20pt,15pt,0,0">
                <w:txbxContent>
                  <w:p w14:paraId="00454BB3" w14:textId="7D75B0F9"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6406EE" w14:paraId="20720697" w14:textId="77777777" w:rsidTr="002308EE">
      <w:tc>
        <w:tcPr>
          <w:tcW w:w="2977" w:type="dxa"/>
        </w:tcPr>
        <w:p w14:paraId="2B51702D" w14:textId="650A8D0C" w:rsidR="002308EE" w:rsidRDefault="008117EB" w:rsidP="002308EE">
          <w:pPr>
            <w:pStyle w:val="Header"/>
          </w:pPr>
          <w:r>
            <w:rPr>
              <w:noProof/>
            </w:rPr>
            <mc:AlternateContent>
              <mc:Choice Requires="wps">
                <w:drawing>
                  <wp:anchor distT="0" distB="0" distL="0" distR="0" simplePos="0" relativeHeight="251660288" behindDoc="0" locked="0" layoutInCell="1" allowOverlap="1" wp14:anchorId="60D2033D" wp14:editId="0276D58F">
                    <wp:simplePos x="647700" y="323850"/>
                    <wp:positionH relativeFrom="page">
                      <wp:align>left</wp:align>
                    </wp:positionH>
                    <wp:positionV relativeFrom="page">
                      <wp:align>top</wp:align>
                    </wp:positionV>
                    <wp:extent cx="772795" cy="444500"/>
                    <wp:effectExtent l="0" t="0" r="8255" b="12700"/>
                    <wp:wrapNone/>
                    <wp:docPr id="119518019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3E122147" w14:textId="58937490"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D2033D" id="_x0000_t202" coordsize="21600,21600" o:spt="202" path="m,l,21600r21600,l21600,xe">
                    <v:stroke joinstyle="miter"/>
                    <v:path gradientshapeok="t" o:connecttype="rect"/>
                  </v:shapetype>
                  <v:shape id="Text Box 4" o:spid="_x0000_s1028" type="#_x0000_t202" alt="OFFICIAL" style="position:absolute;margin-left:0;margin-top:0;width:60.85pt;height:3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" filled="f" stroked="f">
                    <v:fill o:detectmouseclick="t"/>
                    <v:textbox style="mso-fit-shape-to-text:t" inset="20pt,15pt,0,0">
                      <w:txbxContent>
                        <w:p w14:paraId="3E122147" w14:textId="58937490"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v:textbox>
                    <w10:wrap anchorx="page" anchory="page"/>
                  </v:shape>
                </w:pict>
              </mc:Fallback>
            </mc:AlternateContent>
          </w:r>
        </w:p>
      </w:tc>
      <w:tc>
        <w:tcPr>
          <w:tcW w:w="5954" w:type="dxa"/>
        </w:tcPr>
        <w:p w14:paraId="6E49415E" w14:textId="74568A52" w:rsidR="002308EE" w:rsidRPr="00114AE3" w:rsidRDefault="00DC6F20" w:rsidP="002308EE">
          <w:pPr>
            <w:pStyle w:val="SecurityDLM"/>
            <w:ind w:left="0"/>
            <w:jc w:val="right"/>
            <w:rPr>
              <w:color w:val="414044" w:themeColor="accent5" w:themeShade="80"/>
            </w:rPr>
          </w:pPr>
          <w:r w:rsidRPr="00114AE3">
            <w:rPr>
              <w:color w:val="414044" w:themeColor="accent5" w:themeShade="80"/>
            </w:rPr>
            <w:t>OFFICIAL</w:t>
          </w:r>
        </w:p>
      </w:tc>
      <w:tc>
        <w:tcPr>
          <w:tcW w:w="1417" w:type="dxa"/>
        </w:tcPr>
        <w:p w14:paraId="0B5D96E2" w14:textId="77777777" w:rsidR="002308EE" w:rsidRDefault="002308EE" w:rsidP="002308EE">
          <w:pPr>
            <w:pStyle w:val="Header"/>
            <w:jc w:val="right"/>
          </w:pPr>
          <w:r>
            <w:rPr>
              <w:noProof/>
            </w:rPr>
            <w:drawing>
              <wp:inline distT="0" distB="0" distL="0" distR="0" wp14:anchorId="39B35FBE" wp14:editId="316CCB00">
                <wp:extent cx="755640" cy="755640"/>
                <wp:effectExtent l="0" t="0" r="6985" b="6985"/>
                <wp:docPr id="8" name="Picture 8"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517381F5" w14:textId="77777777" w:rsidR="0022668B" w:rsidRDefault="0022668B" w:rsidP="0022668B">
    <w:pPr>
      <w:pStyle w:val="Header"/>
    </w:pPr>
  </w:p>
  <w:p w14:paraId="574D6932" w14:textId="77777777" w:rsidR="002308EE" w:rsidRDefault="002308EE" w:rsidP="00226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6406EE" w14:paraId="3197D193" w14:textId="77777777" w:rsidTr="002308EE">
      <w:tc>
        <w:tcPr>
          <w:tcW w:w="5386" w:type="dxa"/>
        </w:tcPr>
        <w:p w14:paraId="49493875" w14:textId="3B6FFA69" w:rsidR="003B3DE8" w:rsidRDefault="008117EB" w:rsidP="0022668B">
          <w:pPr>
            <w:pStyle w:val="Header"/>
          </w:pPr>
          <w:r>
            <w:rPr>
              <w:noProof/>
            </w:rPr>
            <mc:AlternateContent>
              <mc:Choice Requires="wps">
                <w:drawing>
                  <wp:anchor distT="0" distB="0" distL="0" distR="0" simplePos="0" relativeHeight="251658240" behindDoc="0" locked="0" layoutInCell="1" allowOverlap="1" wp14:anchorId="51E663B6" wp14:editId="500953D8">
                    <wp:simplePos x="647700" y="323850"/>
                    <wp:positionH relativeFrom="page">
                      <wp:align>left</wp:align>
                    </wp:positionH>
                    <wp:positionV relativeFrom="page">
                      <wp:align>top</wp:align>
                    </wp:positionV>
                    <wp:extent cx="772795" cy="444500"/>
                    <wp:effectExtent l="0" t="0" r="8255" b="12700"/>
                    <wp:wrapNone/>
                    <wp:docPr id="139487790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39A047F7" w14:textId="54F5A366"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1E663B6" id="_x0000_t202" coordsize="21600,21600" o:spt="202" path="m,l,21600r21600,l21600,xe">
                    <v:stroke joinstyle="miter"/>
                    <v:path gradientshapeok="t" o:connecttype="rect"/>
                  </v:shapetype>
                  <v:shape id="_x0000_s1031" type="#_x0000_t202" alt="OFFICIAL" style="position:absolute;margin-left:0;margin-top:0;width:60.85pt;height:3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" filled="f" stroked="f">
                    <v:fill o:detectmouseclick="t"/>
                    <v:textbox style="mso-fit-shape-to-text:t" inset="20pt,15pt,0,0">
                      <w:txbxContent>
                        <w:p w14:paraId="39A047F7" w14:textId="54F5A366"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v:textbox>
                    <w10:wrap anchorx="page" anchory="page"/>
                  </v:shape>
                </w:pict>
              </mc:Fallback>
            </mc:AlternateContent>
          </w:r>
          <w:r w:rsidR="003B3DE8">
            <w:rPr>
              <w:noProof/>
            </w:rPr>
            <w:drawing>
              <wp:inline distT="0" distB="0" distL="0" distR="0" wp14:anchorId="174FA385" wp14:editId="6540D69E">
                <wp:extent cx="3282950" cy="756920"/>
                <wp:effectExtent l="0" t="0" r="0" b="5080"/>
                <wp:docPr id="16" name="Picture 16"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1907CF2D" w14:textId="0371D816" w:rsidR="003B3DE8" w:rsidRPr="00114AE3" w:rsidRDefault="00DC6F20" w:rsidP="002308EE">
          <w:pPr>
            <w:pStyle w:val="SecurityDLM"/>
            <w:ind w:left="0"/>
            <w:jc w:val="right"/>
            <w:rPr>
              <w:color w:val="404040" w:themeColor="text1" w:themeTint="BF"/>
            </w:rPr>
          </w:pPr>
          <w:r w:rsidRPr="00114AE3">
            <w:rPr>
              <w:color w:val="404040" w:themeColor="text1" w:themeTint="BF"/>
            </w:rPr>
            <w:t>OFFICIAL</w:t>
          </w:r>
        </w:p>
      </w:tc>
      <w:tc>
        <w:tcPr>
          <w:tcW w:w="1415" w:type="dxa"/>
        </w:tcPr>
        <w:p w14:paraId="5BA3AFB0" w14:textId="77777777" w:rsidR="003B3DE8" w:rsidRDefault="002308EE" w:rsidP="002308EE">
          <w:pPr>
            <w:pStyle w:val="Header"/>
            <w:jc w:val="right"/>
          </w:pPr>
          <w:r>
            <w:rPr>
              <w:noProof/>
            </w:rPr>
            <w:drawing>
              <wp:inline distT="0" distB="0" distL="0" distR="0" wp14:anchorId="0376592C" wp14:editId="6E47A46E">
                <wp:extent cx="755640" cy="755640"/>
                <wp:effectExtent l="0" t="0" r="6985" b="6985"/>
                <wp:docPr id="15" name="Picture 1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284FB7B1" w14:textId="77777777" w:rsidR="00133DD8" w:rsidRDefault="00133DD8" w:rsidP="002308EE"/>
  <w:p w14:paraId="1546B920" w14:textId="77777777" w:rsidR="00133DD8" w:rsidRDefault="00133DD8" w:rsidP="002308EE"/>
  <w:p w14:paraId="5538C077" w14:textId="77777777" w:rsidR="00133DD8" w:rsidRDefault="00133DD8" w:rsidP="002308EE"/>
  <w:p w14:paraId="7D3C65C6" w14:textId="77777777" w:rsidR="00133DD8" w:rsidRDefault="00133DD8" w:rsidP="002308EE"/>
  <w:p w14:paraId="11196740" w14:textId="77777777" w:rsidR="00133DD8" w:rsidRDefault="00133DD8" w:rsidP="002308EE"/>
  <w:p w14:paraId="169AC1B8" w14:textId="77777777" w:rsidR="00133DD8" w:rsidRDefault="00133DD8" w:rsidP="002308EE"/>
  <w:p w14:paraId="4A065D8D" w14:textId="77777777" w:rsidR="00133DD8" w:rsidRDefault="00133DD8" w:rsidP="002308EE"/>
  <w:p w14:paraId="713FBC6B" w14:textId="77777777" w:rsidR="00133DD8" w:rsidRDefault="00133DD8" w:rsidP="002308EE"/>
  <w:p w14:paraId="352C38AD" w14:textId="77777777" w:rsidR="00133DD8" w:rsidRDefault="00133DD8" w:rsidP="002308EE"/>
  <w:p w14:paraId="7C871C96" w14:textId="77777777" w:rsidR="00133DD8" w:rsidRDefault="00133DD8" w:rsidP="002308EE"/>
  <w:p w14:paraId="66609B3A" w14:textId="77777777" w:rsidR="00133DD8" w:rsidRPr="00A7117A" w:rsidRDefault="00133DD8" w:rsidP="002308EE">
    <w:pPr>
      <w:rPr>
        <w:noProo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E71B24" w14:paraId="16A5D9CA" w14:textId="77777777" w:rsidTr="00E71B24">
      <w:tc>
        <w:tcPr>
          <w:tcW w:w="2977" w:type="dxa"/>
        </w:tcPr>
        <w:p w14:paraId="1B71EB64" w14:textId="1D30DEB0" w:rsidR="00E71B24" w:rsidRDefault="008117EB" w:rsidP="00E71B24">
          <w:pPr>
            <w:pStyle w:val="Header"/>
          </w:pPr>
          <w:r>
            <w:rPr>
              <w:noProof/>
            </w:rPr>
            <mc:AlternateContent>
              <mc:Choice Requires="wps">
                <w:drawing>
                  <wp:anchor distT="0" distB="0" distL="0" distR="0" simplePos="0" relativeHeight="251661312" behindDoc="0" locked="0" layoutInCell="1" allowOverlap="1" wp14:anchorId="76DBCA45" wp14:editId="0A125BC8">
                    <wp:simplePos x="635" y="635"/>
                    <wp:positionH relativeFrom="page">
                      <wp:align>left</wp:align>
                    </wp:positionH>
                    <wp:positionV relativeFrom="page">
                      <wp:align>top</wp:align>
                    </wp:positionV>
                    <wp:extent cx="772795" cy="444500"/>
                    <wp:effectExtent l="0" t="0" r="8255" b="12700"/>
                    <wp:wrapNone/>
                    <wp:docPr id="200553821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01C6082B" w14:textId="25340827"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DBCA45" id="_x0000_t202" coordsize="21600,21600" o:spt="202" path="m,l,21600r21600,l21600,xe">
                    <v:stroke joinstyle="miter"/>
                    <v:path gradientshapeok="t" o:connecttype="rect"/>
                  </v:shapetype>
                  <v:shape id="Text Box 5" o:spid="_x0000_s1033" type="#_x0000_t202" alt="OFFICIAL" style="position:absolute;margin-left:0;margin-top:0;width:60.85pt;height:3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" filled="f" stroked="f">
                    <v:fill o:detectmouseclick="t"/>
                    <v:textbox style="mso-fit-shape-to-text:t" inset="20pt,15pt,0,0">
                      <w:txbxContent>
                        <w:p w14:paraId="01C6082B" w14:textId="25340827" w:rsidR="008117EB" w:rsidRPr="008117EB" w:rsidRDefault="008117EB" w:rsidP="008117EB">
                          <w:pPr>
                            <w:spacing w:after="0"/>
                            <w:rPr>
                              <w:rFonts w:ascii="Aptos" w:eastAsia="Aptos" w:hAnsi="Aptos" w:cs="Aptos"/>
                              <w:noProof/>
                              <w:color w:val="000000"/>
                              <w:szCs w:val="20"/>
                            </w:rPr>
                          </w:pPr>
                          <w:r w:rsidRPr="008117EB">
                            <w:rPr>
                              <w:rFonts w:ascii="Aptos" w:eastAsia="Aptos" w:hAnsi="Aptos" w:cs="Aptos"/>
                              <w:noProof/>
                              <w:color w:val="000000"/>
                              <w:szCs w:val="20"/>
                            </w:rPr>
                            <w:t>OFFICIAL</w:t>
                          </w:r>
                        </w:p>
                      </w:txbxContent>
                    </v:textbox>
                    <w10:wrap anchorx="page" anchory="page"/>
                  </v:shape>
                </w:pict>
              </mc:Fallback>
            </mc:AlternateContent>
          </w:r>
        </w:p>
      </w:tc>
      <w:tc>
        <w:tcPr>
          <w:tcW w:w="5954" w:type="dxa"/>
        </w:tcPr>
        <w:p w14:paraId="7C602D85" w14:textId="77777777" w:rsidR="00E71B24" w:rsidRPr="001115AB" w:rsidRDefault="00E71B24" w:rsidP="00E71B24">
          <w:pPr>
            <w:pStyle w:val="SecurityDLM"/>
            <w:ind w:left="0"/>
            <w:jc w:val="right"/>
            <w:rPr>
              <w:color w:val="auto"/>
            </w:rPr>
          </w:pPr>
          <w:r w:rsidRPr="001115AB">
            <w:rPr>
              <w:color w:val="auto"/>
            </w:rPr>
            <w:t>OFFICIAL</w:t>
          </w:r>
        </w:p>
      </w:tc>
      <w:tc>
        <w:tcPr>
          <w:tcW w:w="1417" w:type="dxa"/>
        </w:tcPr>
        <w:p w14:paraId="10BF517D" w14:textId="77777777" w:rsidR="00E71B24" w:rsidRDefault="00E71B24" w:rsidP="00E71B24">
          <w:pPr>
            <w:pStyle w:val="Header"/>
            <w:jc w:val="right"/>
          </w:pPr>
          <w:r>
            <w:rPr>
              <w:noProof/>
            </w:rPr>
            <w:drawing>
              <wp:inline distT="0" distB="0" distL="0" distR="0" wp14:anchorId="73A0E8C1" wp14:editId="7F0E342A">
                <wp:extent cx="755640" cy="755640"/>
                <wp:effectExtent l="0" t="0" r="6985" b="6985"/>
                <wp:docPr id="1039609312" name="Picture 1039609312"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1F047FBC" w14:textId="388A9394" w:rsidR="001021C4" w:rsidRPr="00A7117A" w:rsidRDefault="001021C4" w:rsidP="001021C4">
    <w:pPr>
      <w:tabs>
        <w:tab w:val="left" w:pos="2461"/>
      </w:tabs>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7ED"/>
    <w:multiLevelType w:val="multilevel"/>
    <w:tmpl w:val="C284D0B0"/>
    <w:numStyleLink w:val="FigureNumbers"/>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17279EF"/>
    <w:multiLevelType w:val="hybridMultilevel"/>
    <w:tmpl w:val="8FC01D9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B7E2F40"/>
    <w:multiLevelType w:val="hybridMultilevel"/>
    <w:tmpl w:val="737E0716"/>
    <w:lvl w:ilvl="0" w:tplc="0C090001">
      <w:start w:val="1"/>
      <w:numFmt w:val="bullet"/>
      <w:lvlText w:val=""/>
      <w:lvlJc w:val="left"/>
      <w:pPr>
        <w:ind w:left="567" w:hanging="284"/>
      </w:pPr>
      <w:rPr>
        <w:rFonts w:ascii="Symbol" w:hAnsi="Symbol" w:hint="default"/>
        <w:color w:val="77BBD9"/>
        <w:w w:val="99"/>
        <w:sz w:val="20"/>
        <w:szCs w:val="20"/>
        <w:lang w:val="en-US" w:eastAsia="en-US" w:bidi="ar-SA"/>
      </w:rPr>
    </w:lvl>
    <w:lvl w:ilvl="1" w:tplc="223A6018">
      <w:numFmt w:val="bullet"/>
      <w:lvlText w:val="–"/>
      <w:lvlJc w:val="left"/>
      <w:pPr>
        <w:ind w:left="701" w:hanging="286"/>
      </w:pPr>
      <w:rPr>
        <w:rFonts w:ascii="Arial" w:eastAsia="Arial" w:hAnsi="Arial" w:cs="Arial" w:hint="default"/>
        <w:color w:val="77BBD9"/>
        <w:w w:val="99"/>
        <w:sz w:val="20"/>
        <w:szCs w:val="20"/>
        <w:lang w:val="en-US" w:eastAsia="en-US" w:bidi="ar-SA"/>
      </w:rPr>
    </w:lvl>
    <w:lvl w:ilvl="2" w:tplc="14601D54">
      <w:numFmt w:val="bullet"/>
      <w:lvlText w:val="•"/>
      <w:lvlJc w:val="left"/>
      <w:pPr>
        <w:ind w:left="1767" w:hanging="286"/>
      </w:pPr>
      <w:rPr>
        <w:rFonts w:hint="default"/>
        <w:lang w:val="en-US" w:eastAsia="en-US" w:bidi="ar-SA"/>
      </w:rPr>
    </w:lvl>
    <w:lvl w:ilvl="3" w:tplc="81E25846">
      <w:numFmt w:val="bullet"/>
      <w:lvlText w:val="•"/>
      <w:lvlJc w:val="left"/>
      <w:pPr>
        <w:ind w:left="2834" w:hanging="286"/>
      </w:pPr>
      <w:rPr>
        <w:rFonts w:hint="default"/>
        <w:lang w:val="en-US" w:eastAsia="en-US" w:bidi="ar-SA"/>
      </w:rPr>
    </w:lvl>
    <w:lvl w:ilvl="4" w:tplc="0608E550">
      <w:numFmt w:val="bullet"/>
      <w:lvlText w:val="•"/>
      <w:lvlJc w:val="left"/>
      <w:pPr>
        <w:ind w:left="3902" w:hanging="286"/>
      </w:pPr>
      <w:rPr>
        <w:rFonts w:hint="default"/>
        <w:lang w:val="en-US" w:eastAsia="en-US" w:bidi="ar-SA"/>
      </w:rPr>
    </w:lvl>
    <w:lvl w:ilvl="5" w:tplc="B4721B5C">
      <w:numFmt w:val="bullet"/>
      <w:lvlText w:val="•"/>
      <w:lvlJc w:val="left"/>
      <w:pPr>
        <w:ind w:left="4969" w:hanging="286"/>
      </w:pPr>
      <w:rPr>
        <w:rFonts w:hint="default"/>
        <w:lang w:val="en-US" w:eastAsia="en-US" w:bidi="ar-SA"/>
      </w:rPr>
    </w:lvl>
    <w:lvl w:ilvl="6" w:tplc="0DBEB8C6">
      <w:numFmt w:val="bullet"/>
      <w:lvlText w:val="•"/>
      <w:lvlJc w:val="left"/>
      <w:pPr>
        <w:ind w:left="6036" w:hanging="286"/>
      </w:pPr>
      <w:rPr>
        <w:rFonts w:hint="default"/>
        <w:lang w:val="en-US" w:eastAsia="en-US" w:bidi="ar-SA"/>
      </w:rPr>
    </w:lvl>
    <w:lvl w:ilvl="7" w:tplc="13C00126">
      <w:numFmt w:val="bullet"/>
      <w:lvlText w:val="•"/>
      <w:lvlJc w:val="left"/>
      <w:pPr>
        <w:ind w:left="7104" w:hanging="286"/>
      </w:pPr>
      <w:rPr>
        <w:rFonts w:hint="default"/>
        <w:lang w:val="en-US" w:eastAsia="en-US" w:bidi="ar-SA"/>
      </w:rPr>
    </w:lvl>
    <w:lvl w:ilvl="8" w:tplc="696CF450">
      <w:numFmt w:val="bullet"/>
      <w:lvlText w:val="•"/>
      <w:lvlJc w:val="left"/>
      <w:pPr>
        <w:ind w:left="8171" w:hanging="286"/>
      </w:pPr>
      <w:rPr>
        <w:rFonts w:hint="default"/>
        <w:lang w:val="en-US" w:eastAsia="en-US" w:bidi="ar-SA"/>
      </w:rPr>
    </w:lvl>
  </w:abstractNum>
  <w:abstractNum w:abstractNumId="7"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8" w15:restartNumberingAfterBreak="0">
    <w:nsid w:val="34A26E8F"/>
    <w:multiLevelType w:val="hybridMultilevel"/>
    <w:tmpl w:val="EFAC3E2E"/>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9" w15:restartNumberingAfterBreak="0">
    <w:nsid w:val="3DA76567"/>
    <w:multiLevelType w:val="multilevel"/>
    <w:tmpl w:val="3E280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1" w15:restartNumberingAfterBreak="0">
    <w:nsid w:val="421C64CA"/>
    <w:multiLevelType w:val="hybridMultilevel"/>
    <w:tmpl w:val="B540D8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4C33F37"/>
    <w:multiLevelType w:val="hybridMultilevel"/>
    <w:tmpl w:val="E6AC058E"/>
    <w:lvl w:ilvl="0" w:tplc="0C09000F">
      <w:start w:val="1"/>
      <w:numFmt w:val="decimal"/>
      <w:lvlText w:val="%1."/>
      <w:lvlJc w:val="left"/>
      <w:pPr>
        <w:ind w:left="775" w:hanging="360"/>
      </w:pPr>
    </w:lvl>
    <w:lvl w:ilvl="1" w:tplc="0C090019" w:tentative="1">
      <w:start w:val="1"/>
      <w:numFmt w:val="lowerLetter"/>
      <w:lvlText w:val="%2."/>
      <w:lvlJc w:val="left"/>
      <w:pPr>
        <w:ind w:left="1495" w:hanging="360"/>
      </w:pPr>
    </w:lvl>
    <w:lvl w:ilvl="2" w:tplc="0C09001B" w:tentative="1">
      <w:start w:val="1"/>
      <w:numFmt w:val="lowerRoman"/>
      <w:lvlText w:val="%3."/>
      <w:lvlJc w:val="right"/>
      <w:pPr>
        <w:ind w:left="2215" w:hanging="180"/>
      </w:pPr>
    </w:lvl>
    <w:lvl w:ilvl="3" w:tplc="0C09000F" w:tentative="1">
      <w:start w:val="1"/>
      <w:numFmt w:val="decimal"/>
      <w:lvlText w:val="%4."/>
      <w:lvlJc w:val="left"/>
      <w:pPr>
        <w:ind w:left="2935" w:hanging="360"/>
      </w:pPr>
    </w:lvl>
    <w:lvl w:ilvl="4" w:tplc="0C090019" w:tentative="1">
      <w:start w:val="1"/>
      <w:numFmt w:val="lowerLetter"/>
      <w:lvlText w:val="%5."/>
      <w:lvlJc w:val="left"/>
      <w:pPr>
        <w:ind w:left="3655" w:hanging="360"/>
      </w:pPr>
    </w:lvl>
    <w:lvl w:ilvl="5" w:tplc="0C09001B" w:tentative="1">
      <w:start w:val="1"/>
      <w:numFmt w:val="lowerRoman"/>
      <w:lvlText w:val="%6."/>
      <w:lvlJc w:val="right"/>
      <w:pPr>
        <w:ind w:left="4375" w:hanging="180"/>
      </w:pPr>
    </w:lvl>
    <w:lvl w:ilvl="6" w:tplc="0C09000F" w:tentative="1">
      <w:start w:val="1"/>
      <w:numFmt w:val="decimal"/>
      <w:lvlText w:val="%7."/>
      <w:lvlJc w:val="left"/>
      <w:pPr>
        <w:ind w:left="5095" w:hanging="360"/>
      </w:pPr>
    </w:lvl>
    <w:lvl w:ilvl="7" w:tplc="0C090019" w:tentative="1">
      <w:start w:val="1"/>
      <w:numFmt w:val="lowerLetter"/>
      <w:lvlText w:val="%8."/>
      <w:lvlJc w:val="left"/>
      <w:pPr>
        <w:ind w:left="5815" w:hanging="360"/>
      </w:pPr>
    </w:lvl>
    <w:lvl w:ilvl="8" w:tplc="0C09001B" w:tentative="1">
      <w:start w:val="1"/>
      <w:numFmt w:val="lowerRoman"/>
      <w:lvlText w:val="%9."/>
      <w:lvlJc w:val="right"/>
      <w:pPr>
        <w:ind w:left="6535" w:hanging="180"/>
      </w:pPr>
    </w:lvl>
  </w:abstractNum>
  <w:abstractNum w:abstractNumId="13" w15:restartNumberingAfterBreak="0">
    <w:nsid w:val="4BDC6C8E"/>
    <w:multiLevelType w:val="multilevel"/>
    <w:tmpl w:val="131EEC6C"/>
    <w:numStyleLink w:val="TableNumbers"/>
  </w:abstractNum>
  <w:abstractNum w:abstractNumId="14" w15:restartNumberingAfterBreak="0">
    <w:nsid w:val="50C7264E"/>
    <w:multiLevelType w:val="hybridMultilevel"/>
    <w:tmpl w:val="8FC01D9A"/>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pStyle w:val="Heading5Numbered"/>
      <w:lvlText w:val="%1.%2.%3.%4."/>
      <w:lvlJc w:val="left"/>
      <w:pPr>
        <w:ind w:left="1728" w:hanging="648"/>
      </w:pPr>
      <w:rPr>
        <w:rFonts w:hint="default"/>
      </w:rPr>
    </w:lvl>
    <w:lvl w:ilvl="4">
      <w:start w:val="1"/>
      <w:numFmt w:val="decimal"/>
      <w:pStyle w:val="Heading6Numbered"/>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8615703"/>
    <w:multiLevelType w:val="multilevel"/>
    <w:tmpl w:val="803CF862"/>
    <w:numStyleLink w:val="List1Numbered"/>
  </w:abstractNum>
  <w:abstractNum w:abstractNumId="18" w15:restartNumberingAfterBreak="0">
    <w:nsid w:val="588812EC"/>
    <w:multiLevelType w:val="hybridMultilevel"/>
    <w:tmpl w:val="1B8AF2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E676E09"/>
    <w:multiLevelType w:val="multilevel"/>
    <w:tmpl w:val="0C09001F"/>
    <w:numStyleLink w:val="NumberedHeadings"/>
  </w:abstractNum>
  <w:abstractNum w:abstractNumId="20"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7EE44065"/>
    <w:multiLevelType w:val="multilevel"/>
    <w:tmpl w:val="A41689A2"/>
    <w:numStyleLink w:val="AppendixNumbers"/>
  </w:abstractNum>
  <w:abstractNum w:abstractNumId="22"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22"/>
  </w:num>
  <w:num w:numId="2" w16cid:durableId="709764690">
    <w:abstractNumId w:val="15"/>
  </w:num>
  <w:num w:numId="3" w16cid:durableId="142164143">
    <w:abstractNumId w:val="15"/>
  </w:num>
  <w:num w:numId="4" w16cid:durableId="1158381352">
    <w:abstractNumId w:val="10"/>
  </w:num>
  <w:num w:numId="5" w16cid:durableId="2105416843">
    <w:abstractNumId w:val="10"/>
  </w:num>
  <w:num w:numId="6" w16cid:durableId="491412865">
    <w:abstractNumId w:val="20"/>
  </w:num>
  <w:num w:numId="7" w16cid:durableId="1070150997">
    <w:abstractNumId w:val="20"/>
  </w:num>
  <w:num w:numId="8" w16cid:durableId="2095473806">
    <w:abstractNumId w:val="4"/>
  </w:num>
  <w:num w:numId="9" w16cid:durableId="960039475">
    <w:abstractNumId w:val="0"/>
  </w:num>
  <w:num w:numId="10" w16cid:durableId="1213810782">
    <w:abstractNumId w:val="16"/>
  </w:num>
  <w:num w:numId="11" w16cid:durableId="999507997">
    <w:abstractNumId w:val="1"/>
  </w:num>
  <w:num w:numId="12" w16cid:durableId="991106785">
    <w:abstractNumId w:val="3"/>
  </w:num>
  <w:num w:numId="13" w16cid:durableId="1844390436">
    <w:abstractNumId w:val="17"/>
  </w:num>
  <w:num w:numId="14" w16cid:durableId="1228960154">
    <w:abstractNumId w:val="17"/>
  </w:num>
  <w:num w:numId="15" w16cid:durableId="1083524882">
    <w:abstractNumId w:val="7"/>
  </w:num>
  <w:num w:numId="16" w16cid:durableId="709378581">
    <w:abstractNumId w:val="5"/>
  </w:num>
  <w:num w:numId="17" w16cid:durableId="1198665999">
    <w:abstractNumId w:val="13"/>
  </w:num>
  <w:num w:numId="18" w16cid:durableId="1040395793">
    <w:abstractNumId w:val="8"/>
  </w:num>
  <w:num w:numId="19" w16cid:durableId="583104145">
    <w:abstractNumId w:val="21"/>
  </w:num>
  <w:num w:numId="20" w16cid:durableId="1291282911">
    <w:abstractNumId w:val="19"/>
  </w:num>
  <w:num w:numId="21" w16cid:durableId="1443452407">
    <w:abstractNumId w:val="9"/>
  </w:num>
  <w:num w:numId="22" w16cid:durableId="16177167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3444051">
    <w:abstractNumId w:val="14"/>
  </w:num>
  <w:num w:numId="24" w16cid:durableId="808546687">
    <w:abstractNumId w:val="6"/>
  </w:num>
  <w:num w:numId="25" w16cid:durableId="7597897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74842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0237904">
    <w:abstractNumId w:val="2"/>
  </w:num>
  <w:num w:numId="28" w16cid:durableId="1911570978">
    <w:abstractNumId w:val="20"/>
  </w:num>
  <w:num w:numId="29" w16cid:durableId="1231425751">
    <w:abstractNumId w:val="11"/>
  </w:num>
  <w:num w:numId="30" w16cid:durableId="669016932">
    <w:abstractNumId w:val="12"/>
  </w:num>
  <w:num w:numId="31" w16cid:durableId="1056466135">
    <w:abstractNumId w:val="18"/>
  </w:num>
  <w:num w:numId="32" w16cid:durableId="184710632">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F7"/>
    <w:rsid w:val="00001A7F"/>
    <w:rsid w:val="00001B21"/>
    <w:rsid w:val="00002D41"/>
    <w:rsid w:val="000030E1"/>
    <w:rsid w:val="0000344D"/>
    <w:rsid w:val="00003CA9"/>
    <w:rsid w:val="00004102"/>
    <w:rsid w:val="000045A8"/>
    <w:rsid w:val="0000480A"/>
    <w:rsid w:val="00005132"/>
    <w:rsid w:val="0000618F"/>
    <w:rsid w:val="000076BC"/>
    <w:rsid w:val="0001022D"/>
    <w:rsid w:val="00011548"/>
    <w:rsid w:val="00012231"/>
    <w:rsid w:val="00012798"/>
    <w:rsid w:val="00012B48"/>
    <w:rsid w:val="0001398F"/>
    <w:rsid w:val="00013F8D"/>
    <w:rsid w:val="00015467"/>
    <w:rsid w:val="00015B68"/>
    <w:rsid w:val="00016248"/>
    <w:rsid w:val="0001671C"/>
    <w:rsid w:val="00016BC5"/>
    <w:rsid w:val="000173A8"/>
    <w:rsid w:val="000173D6"/>
    <w:rsid w:val="00017D69"/>
    <w:rsid w:val="00017FA5"/>
    <w:rsid w:val="00020414"/>
    <w:rsid w:val="00020D7E"/>
    <w:rsid w:val="0002113A"/>
    <w:rsid w:val="00021353"/>
    <w:rsid w:val="00022387"/>
    <w:rsid w:val="00022E18"/>
    <w:rsid w:val="00023023"/>
    <w:rsid w:val="000231E2"/>
    <w:rsid w:val="000234E8"/>
    <w:rsid w:val="000248D3"/>
    <w:rsid w:val="00024D54"/>
    <w:rsid w:val="00025148"/>
    <w:rsid w:val="000256C9"/>
    <w:rsid w:val="00026D83"/>
    <w:rsid w:val="000277E5"/>
    <w:rsid w:val="00030216"/>
    <w:rsid w:val="000305F0"/>
    <w:rsid w:val="00030621"/>
    <w:rsid w:val="00030E2D"/>
    <w:rsid w:val="000317D8"/>
    <w:rsid w:val="00031D7B"/>
    <w:rsid w:val="00032707"/>
    <w:rsid w:val="00032A73"/>
    <w:rsid w:val="00032BE5"/>
    <w:rsid w:val="000331D4"/>
    <w:rsid w:val="000342E9"/>
    <w:rsid w:val="00035825"/>
    <w:rsid w:val="0003594D"/>
    <w:rsid w:val="00035D6E"/>
    <w:rsid w:val="00036473"/>
    <w:rsid w:val="00036A1C"/>
    <w:rsid w:val="000403A4"/>
    <w:rsid w:val="00041B3D"/>
    <w:rsid w:val="00041CCB"/>
    <w:rsid w:val="000424CD"/>
    <w:rsid w:val="00043B67"/>
    <w:rsid w:val="00044A63"/>
    <w:rsid w:val="00044DF1"/>
    <w:rsid w:val="000462B8"/>
    <w:rsid w:val="0004635D"/>
    <w:rsid w:val="000463C3"/>
    <w:rsid w:val="00046456"/>
    <w:rsid w:val="0004683C"/>
    <w:rsid w:val="000468A3"/>
    <w:rsid w:val="00046E18"/>
    <w:rsid w:val="00046E44"/>
    <w:rsid w:val="00047195"/>
    <w:rsid w:val="0004728A"/>
    <w:rsid w:val="00050184"/>
    <w:rsid w:val="000501CF"/>
    <w:rsid w:val="00050E65"/>
    <w:rsid w:val="00051C42"/>
    <w:rsid w:val="0005264E"/>
    <w:rsid w:val="00054C25"/>
    <w:rsid w:val="00055B8B"/>
    <w:rsid w:val="00055C62"/>
    <w:rsid w:val="000568D7"/>
    <w:rsid w:val="00056F53"/>
    <w:rsid w:val="00057F22"/>
    <w:rsid w:val="00061464"/>
    <w:rsid w:val="00061B60"/>
    <w:rsid w:val="000633C3"/>
    <w:rsid w:val="00063766"/>
    <w:rsid w:val="000639CC"/>
    <w:rsid w:val="00063F21"/>
    <w:rsid w:val="00065144"/>
    <w:rsid w:val="00065A3C"/>
    <w:rsid w:val="00065BFA"/>
    <w:rsid w:val="00066BA6"/>
    <w:rsid w:val="000701DF"/>
    <w:rsid w:val="00070AA8"/>
    <w:rsid w:val="00070BA9"/>
    <w:rsid w:val="00070FD9"/>
    <w:rsid w:val="00073518"/>
    <w:rsid w:val="00075BDC"/>
    <w:rsid w:val="00075C27"/>
    <w:rsid w:val="000760DE"/>
    <w:rsid w:val="000760E8"/>
    <w:rsid w:val="000762E1"/>
    <w:rsid w:val="0007667E"/>
    <w:rsid w:val="00077524"/>
    <w:rsid w:val="00077655"/>
    <w:rsid w:val="00081A88"/>
    <w:rsid w:val="0008205B"/>
    <w:rsid w:val="0008233F"/>
    <w:rsid w:val="00082E8E"/>
    <w:rsid w:val="00083C42"/>
    <w:rsid w:val="000840B1"/>
    <w:rsid w:val="00084FC0"/>
    <w:rsid w:val="0008622C"/>
    <w:rsid w:val="000866B6"/>
    <w:rsid w:val="000875B5"/>
    <w:rsid w:val="00087CA9"/>
    <w:rsid w:val="00090633"/>
    <w:rsid w:val="00091A04"/>
    <w:rsid w:val="00092519"/>
    <w:rsid w:val="00094F94"/>
    <w:rsid w:val="000965DE"/>
    <w:rsid w:val="00096B3A"/>
    <w:rsid w:val="00096D78"/>
    <w:rsid w:val="00097109"/>
    <w:rsid w:val="00097945"/>
    <w:rsid w:val="00097D34"/>
    <w:rsid w:val="000A076A"/>
    <w:rsid w:val="000A0B27"/>
    <w:rsid w:val="000A14D8"/>
    <w:rsid w:val="000A198B"/>
    <w:rsid w:val="000A371A"/>
    <w:rsid w:val="000A3EBD"/>
    <w:rsid w:val="000A4462"/>
    <w:rsid w:val="000A449B"/>
    <w:rsid w:val="000A4517"/>
    <w:rsid w:val="000A4685"/>
    <w:rsid w:val="000A585B"/>
    <w:rsid w:val="000A5D8A"/>
    <w:rsid w:val="000A6549"/>
    <w:rsid w:val="000A6F82"/>
    <w:rsid w:val="000A7010"/>
    <w:rsid w:val="000A72CF"/>
    <w:rsid w:val="000A7773"/>
    <w:rsid w:val="000A7CAA"/>
    <w:rsid w:val="000B0D47"/>
    <w:rsid w:val="000B174D"/>
    <w:rsid w:val="000B1EDE"/>
    <w:rsid w:val="000B2294"/>
    <w:rsid w:val="000B3FF4"/>
    <w:rsid w:val="000B5249"/>
    <w:rsid w:val="000B7651"/>
    <w:rsid w:val="000C10B6"/>
    <w:rsid w:val="000C1AF0"/>
    <w:rsid w:val="000C2A56"/>
    <w:rsid w:val="000C3713"/>
    <w:rsid w:val="000C3D55"/>
    <w:rsid w:val="000C4017"/>
    <w:rsid w:val="000C40D6"/>
    <w:rsid w:val="000C5A23"/>
    <w:rsid w:val="000C5A3C"/>
    <w:rsid w:val="000C5B1C"/>
    <w:rsid w:val="000C6704"/>
    <w:rsid w:val="000C6F30"/>
    <w:rsid w:val="000C6F90"/>
    <w:rsid w:val="000D1378"/>
    <w:rsid w:val="000D1B86"/>
    <w:rsid w:val="000D20AE"/>
    <w:rsid w:val="000D4CF5"/>
    <w:rsid w:val="000D5669"/>
    <w:rsid w:val="000D586A"/>
    <w:rsid w:val="000D6C89"/>
    <w:rsid w:val="000D70CE"/>
    <w:rsid w:val="000D7187"/>
    <w:rsid w:val="000D721D"/>
    <w:rsid w:val="000D78D9"/>
    <w:rsid w:val="000E10AB"/>
    <w:rsid w:val="000E18DC"/>
    <w:rsid w:val="000E2990"/>
    <w:rsid w:val="000E3784"/>
    <w:rsid w:val="000E37A0"/>
    <w:rsid w:val="000E37FB"/>
    <w:rsid w:val="000E3A6B"/>
    <w:rsid w:val="000E5569"/>
    <w:rsid w:val="000E66F3"/>
    <w:rsid w:val="000E740A"/>
    <w:rsid w:val="000E759E"/>
    <w:rsid w:val="000E7DBE"/>
    <w:rsid w:val="000F0D60"/>
    <w:rsid w:val="000F1134"/>
    <w:rsid w:val="000F14DB"/>
    <w:rsid w:val="000F1621"/>
    <w:rsid w:val="000F2180"/>
    <w:rsid w:val="000F21AE"/>
    <w:rsid w:val="000F2E3B"/>
    <w:rsid w:val="000F3763"/>
    <w:rsid w:val="000F3A9D"/>
    <w:rsid w:val="000F3C94"/>
    <w:rsid w:val="000F41F8"/>
    <w:rsid w:val="000F568E"/>
    <w:rsid w:val="000F70EB"/>
    <w:rsid w:val="000F77FB"/>
    <w:rsid w:val="00100519"/>
    <w:rsid w:val="00100636"/>
    <w:rsid w:val="00100A56"/>
    <w:rsid w:val="00100AB1"/>
    <w:rsid w:val="0010110B"/>
    <w:rsid w:val="0010123A"/>
    <w:rsid w:val="001017B2"/>
    <w:rsid w:val="00101802"/>
    <w:rsid w:val="001021C4"/>
    <w:rsid w:val="00103514"/>
    <w:rsid w:val="001036D0"/>
    <w:rsid w:val="00104302"/>
    <w:rsid w:val="00104BC2"/>
    <w:rsid w:val="001060E2"/>
    <w:rsid w:val="00106607"/>
    <w:rsid w:val="0010669A"/>
    <w:rsid w:val="00106E72"/>
    <w:rsid w:val="0010725B"/>
    <w:rsid w:val="0010770F"/>
    <w:rsid w:val="00107ACF"/>
    <w:rsid w:val="00107B3D"/>
    <w:rsid w:val="0011066E"/>
    <w:rsid w:val="00110AA6"/>
    <w:rsid w:val="0011105F"/>
    <w:rsid w:val="001115AB"/>
    <w:rsid w:val="00112A83"/>
    <w:rsid w:val="00113F9A"/>
    <w:rsid w:val="00114AE3"/>
    <w:rsid w:val="00114E74"/>
    <w:rsid w:val="0011550F"/>
    <w:rsid w:val="0011590E"/>
    <w:rsid w:val="00115CDC"/>
    <w:rsid w:val="00116563"/>
    <w:rsid w:val="00116A23"/>
    <w:rsid w:val="00116B1E"/>
    <w:rsid w:val="00120DBB"/>
    <w:rsid w:val="00121222"/>
    <w:rsid w:val="00121AFB"/>
    <w:rsid w:val="001238A9"/>
    <w:rsid w:val="00124439"/>
    <w:rsid w:val="00126547"/>
    <w:rsid w:val="0012734C"/>
    <w:rsid w:val="00127DF3"/>
    <w:rsid w:val="00130CD9"/>
    <w:rsid w:val="00130FBA"/>
    <w:rsid w:val="001320E8"/>
    <w:rsid w:val="00133151"/>
    <w:rsid w:val="00133C37"/>
    <w:rsid w:val="00133DD8"/>
    <w:rsid w:val="0013425C"/>
    <w:rsid w:val="001345BD"/>
    <w:rsid w:val="001351CE"/>
    <w:rsid w:val="001352F2"/>
    <w:rsid w:val="001355EB"/>
    <w:rsid w:val="00136964"/>
    <w:rsid w:val="001372D4"/>
    <w:rsid w:val="00140392"/>
    <w:rsid w:val="00140B7C"/>
    <w:rsid w:val="0014161F"/>
    <w:rsid w:val="00141D2A"/>
    <w:rsid w:val="00141D7A"/>
    <w:rsid w:val="00142028"/>
    <w:rsid w:val="00142ACD"/>
    <w:rsid w:val="0014306B"/>
    <w:rsid w:val="00143457"/>
    <w:rsid w:val="001456A0"/>
    <w:rsid w:val="00146C36"/>
    <w:rsid w:val="00146FEA"/>
    <w:rsid w:val="0014744B"/>
    <w:rsid w:val="001508C3"/>
    <w:rsid w:val="00150C98"/>
    <w:rsid w:val="00152F67"/>
    <w:rsid w:val="00153D45"/>
    <w:rsid w:val="001554AD"/>
    <w:rsid w:val="001555C4"/>
    <w:rsid w:val="00155784"/>
    <w:rsid w:val="0015749E"/>
    <w:rsid w:val="00157D56"/>
    <w:rsid w:val="001600D8"/>
    <w:rsid w:val="00160484"/>
    <w:rsid w:val="00160668"/>
    <w:rsid w:val="001613B6"/>
    <w:rsid w:val="001618D1"/>
    <w:rsid w:val="00162191"/>
    <w:rsid w:val="0016245B"/>
    <w:rsid w:val="00162886"/>
    <w:rsid w:val="00163D0B"/>
    <w:rsid w:val="0016400B"/>
    <w:rsid w:val="00164545"/>
    <w:rsid w:val="001646C9"/>
    <w:rsid w:val="00164FEF"/>
    <w:rsid w:val="00165269"/>
    <w:rsid w:val="00165AA3"/>
    <w:rsid w:val="00165C03"/>
    <w:rsid w:val="00165C1E"/>
    <w:rsid w:val="00166A05"/>
    <w:rsid w:val="001678F5"/>
    <w:rsid w:val="00167C43"/>
    <w:rsid w:val="0017023E"/>
    <w:rsid w:val="00170A68"/>
    <w:rsid w:val="00173141"/>
    <w:rsid w:val="00173449"/>
    <w:rsid w:val="00173A9D"/>
    <w:rsid w:val="00174EF4"/>
    <w:rsid w:val="00180924"/>
    <w:rsid w:val="00180B23"/>
    <w:rsid w:val="00182430"/>
    <w:rsid w:val="0018265A"/>
    <w:rsid w:val="00182A7E"/>
    <w:rsid w:val="00183494"/>
    <w:rsid w:val="001842D0"/>
    <w:rsid w:val="00184BEC"/>
    <w:rsid w:val="00184D32"/>
    <w:rsid w:val="00185159"/>
    <w:rsid w:val="001862CE"/>
    <w:rsid w:val="001867ED"/>
    <w:rsid w:val="00187656"/>
    <w:rsid w:val="001878E5"/>
    <w:rsid w:val="00190BE2"/>
    <w:rsid w:val="00190C13"/>
    <w:rsid w:val="0019272D"/>
    <w:rsid w:val="001938B0"/>
    <w:rsid w:val="00193A00"/>
    <w:rsid w:val="00194C0B"/>
    <w:rsid w:val="00194E58"/>
    <w:rsid w:val="00194EED"/>
    <w:rsid w:val="00196767"/>
    <w:rsid w:val="00196FD4"/>
    <w:rsid w:val="001A0908"/>
    <w:rsid w:val="001A1209"/>
    <w:rsid w:val="001A241C"/>
    <w:rsid w:val="001A317E"/>
    <w:rsid w:val="001A31E8"/>
    <w:rsid w:val="001A3D7C"/>
    <w:rsid w:val="001A432B"/>
    <w:rsid w:val="001A43AB"/>
    <w:rsid w:val="001A50BF"/>
    <w:rsid w:val="001A51D8"/>
    <w:rsid w:val="001A5B41"/>
    <w:rsid w:val="001A6505"/>
    <w:rsid w:val="001A740C"/>
    <w:rsid w:val="001A7C27"/>
    <w:rsid w:val="001B0093"/>
    <w:rsid w:val="001B04D1"/>
    <w:rsid w:val="001B1836"/>
    <w:rsid w:val="001B1D05"/>
    <w:rsid w:val="001B2003"/>
    <w:rsid w:val="001B2890"/>
    <w:rsid w:val="001B34F0"/>
    <w:rsid w:val="001B3556"/>
    <w:rsid w:val="001B3C41"/>
    <w:rsid w:val="001B3C50"/>
    <w:rsid w:val="001B3F34"/>
    <w:rsid w:val="001B4187"/>
    <w:rsid w:val="001B43EC"/>
    <w:rsid w:val="001B4E37"/>
    <w:rsid w:val="001B4F44"/>
    <w:rsid w:val="001B59FE"/>
    <w:rsid w:val="001B5BD5"/>
    <w:rsid w:val="001B6C04"/>
    <w:rsid w:val="001C04EB"/>
    <w:rsid w:val="001C0F34"/>
    <w:rsid w:val="001C0F3E"/>
    <w:rsid w:val="001C2350"/>
    <w:rsid w:val="001C23F4"/>
    <w:rsid w:val="001C30BB"/>
    <w:rsid w:val="001C3170"/>
    <w:rsid w:val="001C3781"/>
    <w:rsid w:val="001C3AA3"/>
    <w:rsid w:val="001C4098"/>
    <w:rsid w:val="001C43E1"/>
    <w:rsid w:val="001C55E6"/>
    <w:rsid w:val="001C63A7"/>
    <w:rsid w:val="001C685D"/>
    <w:rsid w:val="001C6BFC"/>
    <w:rsid w:val="001C79EB"/>
    <w:rsid w:val="001D071B"/>
    <w:rsid w:val="001D0DEE"/>
    <w:rsid w:val="001D1304"/>
    <w:rsid w:val="001D2066"/>
    <w:rsid w:val="001D2EC6"/>
    <w:rsid w:val="001D3423"/>
    <w:rsid w:val="001D3C39"/>
    <w:rsid w:val="001D3F82"/>
    <w:rsid w:val="001D44B0"/>
    <w:rsid w:val="001D4A62"/>
    <w:rsid w:val="001D5DFF"/>
    <w:rsid w:val="001D613E"/>
    <w:rsid w:val="001D675F"/>
    <w:rsid w:val="001D67F9"/>
    <w:rsid w:val="001D7FA5"/>
    <w:rsid w:val="001E0437"/>
    <w:rsid w:val="001E04F2"/>
    <w:rsid w:val="001E0535"/>
    <w:rsid w:val="001E0979"/>
    <w:rsid w:val="001E11E0"/>
    <w:rsid w:val="001E212B"/>
    <w:rsid w:val="001E233E"/>
    <w:rsid w:val="001E298D"/>
    <w:rsid w:val="001E3046"/>
    <w:rsid w:val="001E3C42"/>
    <w:rsid w:val="001E3DF9"/>
    <w:rsid w:val="001E516B"/>
    <w:rsid w:val="001E54E2"/>
    <w:rsid w:val="001E5BC8"/>
    <w:rsid w:val="001E5F02"/>
    <w:rsid w:val="001E614A"/>
    <w:rsid w:val="001E6AA8"/>
    <w:rsid w:val="001E71C4"/>
    <w:rsid w:val="001E735C"/>
    <w:rsid w:val="001E7F72"/>
    <w:rsid w:val="001F01D3"/>
    <w:rsid w:val="001F02E6"/>
    <w:rsid w:val="001F05DA"/>
    <w:rsid w:val="001F0F10"/>
    <w:rsid w:val="001F1659"/>
    <w:rsid w:val="001F17F6"/>
    <w:rsid w:val="001F1AC6"/>
    <w:rsid w:val="001F237D"/>
    <w:rsid w:val="001F2766"/>
    <w:rsid w:val="001F2997"/>
    <w:rsid w:val="001F2EE7"/>
    <w:rsid w:val="001F3AF3"/>
    <w:rsid w:val="001F415D"/>
    <w:rsid w:val="001F4738"/>
    <w:rsid w:val="001F5CD9"/>
    <w:rsid w:val="001F61DF"/>
    <w:rsid w:val="001F70DC"/>
    <w:rsid w:val="00200223"/>
    <w:rsid w:val="002002D2"/>
    <w:rsid w:val="00200641"/>
    <w:rsid w:val="00200DC2"/>
    <w:rsid w:val="00201385"/>
    <w:rsid w:val="00201407"/>
    <w:rsid w:val="002016A8"/>
    <w:rsid w:val="00201B68"/>
    <w:rsid w:val="002035B6"/>
    <w:rsid w:val="00203D8F"/>
    <w:rsid w:val="00204292"/>
    <w:rsid w:val="0020432F"/>
    <w:rsid w:val="0020482F"/>
    <w:rsid w:val="00204834"/>
    <w:rsid w:val="00205CEE"/>
    <w:rsid w:val="00205DC0"/>
    <w:rsid w:val="00206B9E"/>
    <w:rsid w:val="00206BCF"/>
    <w:rsid w:val="002077A3"/>
    <w:rsid w:val="002112A6"/>
    <w:rsid w:val="002121F2"/>
    <w:rsid w:val="00212843"/>
    <w:rsid w:val="002129E3"/>
    <w:rsid w:val="00212B39"/>
    <w:rsid w:val="00214E9C"/>
    <w:rsid w:val="00215869"/>
    <w:rsid w:val="002165D0"/>
    <w:rsid w:val="00216BD1"/>
    <w:rsid w:val="002171A6"/>
    <w:rsid w:val="002175C0"/>
    <w:rsid w:val="0021777D"/>
    <w:rsid w:val="00217F7D"/>
    <w:rsid w:val="0022061F"/>
    <w:rsid w:val="00220F06"/>
    <w:rsid w:val="00221531"/>
    <w:rsid w:val="00221A95"/>
    <w:rsid w:val="00221DEE"/>
    <w:rsid w:val="0022243B"/>
    <w:rsid w:val="00222CAC"/>
    <w:rsid w:val="00222CCD"/>
    <w:rsid w:val="00223E00"/>
    <w:rsid w:val="00224020"/>
    <w:rsid w:val="00225C00"/>
    <w:rsid w:val="0022668B"/>
    <w:rsid w:val="00226F39"/>
    <w:rsid w:val="00227601"/>
    <w:rsid w:val="00227C47"/>
    <w:rsid w:val="002308EE"/>
    <w:rsid w:val="00230C70"/>
    <w:rsid w:val="0023133C"/>
    <w:rsid w:val="00231797"/>
    <w:rsid w:val="00232146"/>
    <w:rsid w:val="00232F9E"/>
    <w:rsid w:val="00233136"/>
    <w:rsid w:val="00233B7A"/>
    <w:rsid w:val="00233D30"/>
    <w:rsid w:val="00235319"/>
    <w:rsid w:val="002355F6"/>
    <w:rsid w:val="002361D3"/>
    <w:rsid w:val="00237154"/>
    <w:rsid w:val="00237B43"/>
    <w:rsid w:val="00237BDE"/>
    <w:rsid w:val="00240210"/>
    <w:rsid w:val="00241537"/>
    <w:rsid w:val="00241769"/>
    <w:rsid w:val="0024221E"/>
    <w:rsid w:val="00242953"/>
    <w:rsid w:val="002429DF"/>
    <w:rsid w:val="00243981"/>
    <w:rsid w:val="00243AC3"/>
    <w:rsid w:val="00244D65"/>
    <w:rsid w:val="00246402"/>
    <w:rsid w:val="00246B39"/>
    <w:rsid w:val="00247E66"/>
    <w:rsid w:val="0025083F"/>
    <w:rsid w:val="00253320"/>
    <w:rsid w:val="00253BF9"/>
    <w:rsid w:val="00255EA7"/>
    <w:rsid w:val="0025740D"/>
    <w:rsid w:val="00257C2B"/>
    <w:rsid w:val="002604B5"/>
    <w:rsid w:val="002604E4"/>
    <w:rsid w:val="00260CAA"/>
    <w:rsid w:val="00260DDF"/>
    <w:rsid w:val="002618C8"/>
    <w:rsid w:val="00261FB0"/>
    <w:rsid w:val="00262026"/>
    <w:rsid w:val="0026248E"/>
    <w:rsid w:val="00262498"/>
    <w:rsid w:val="0026261A"/>
    <w:rsid w:val="00262914"/>
    <w:rsid w:val="00262A36"/>
    <w:rsid w:val="00262A45"/>
    <w:rsid w:val="002634F4"/>
    <w:rsid w:val="00263EEA"/>
    <w:rsid w:val="002654DE"/>
    <w:rsid w:val="002655CE"/>
    <w:rsid w:val="00266B5F"/>
    <w:rsid w:val="00271DBF"/>
    <w:rsid w:val="0027239D"/>
    <w:rsid w:val="0027290B"/>
    <w:rsid w:val="00272E76"/>
    <w:rsid w:val="00273099"/>
    <w:rsid w:val="00274343"/>
    <w:rsid w:val="002746B9"/>
    <w:rsid w:val="00275C44"/>
    <w:rsid w:val="00275D10"/>
    <w:rsid w:val="00276A64"/>
    <w:rsid w:val="00276C5A"/>
    <w:rsid w:val="00276E01"/>
    <w:rsid w:val="00277688"/>
    <w:rsid w:val="00277B42"/>
    <w:rsid w:val="002800C7"/>
    <w:rsid w:val="0028136A"/>
    <w:rsid w:val="00281E44"/>
    <w:rsid w:val="0028212A"/>
    <w:rsid w:val="00282710"/>
    <w:rsid w:val="00283420"/>
    <w:rsid w:val="00283638"/>
    <w:rsid w:val="002838EF"/>
    <w:rsid w:val="0028503F"/>
    <w:rsid w:val="002852AD"/>
    <w:rsid w:val="00285467"/>
    <w:rsid w:val="0028576C"/>
    <w:rsid w:val="0028687A"/>
    <w:rsid w:val="002875A5"/>
    <w:rsid w:val="00290ADB"/>
    <w:rsid w:val="00290D4D"/>
    <w:rsid w:val="002913BD"/>
    <w:rsid w:val="0029160D"/>
    <w:rsid w:val="00292FEB"/>
    <w:rsid w:val="00293800"/>
    <w:rsid w:val="00293D7A"/>
    <w:rsid w:val="00294480"/>
    <w:rsid w:val="002947D5"/>
    <w:rsid w:val="00294AE5"/>
    <w:rsid w:val="00294DCB"/>
    <w:rsid w:val="002954A5"/>
    <w:rsid w:val="00295A0E"/>
    <w:rsid w:val="00296173"/>
    <w:rsid w:val="00296515"/>
    <w:rsid w:val="00296FBD"/>
    <w:rsid w:val="002976E8"/>
    <w:rsid w:val="00297F9C"/>
    <w:rsid w:val="002A0D45"/>
    <w:rsid w:val="002A1633"/>
    <w:rsid w:val="002A1E04"/>
    <w:rsid w:val="002A1EB0"/>
    <w:rsid w:val="002A21BB"/>
    <w:rsid w:val="002A2BD7"/>
    <w:rsid w:val="002A2CF7"/>
    <w:rsid w:val="002A2D40"/>
    <w:rsid w:val="002A3016"/>
    <w:rsid w:val="002A38C6"/>
    <w:rsid w:val="002A4F31"/>
    <w:rsid w:val="002A4F5F"/>
    <w:rsid w:val="002A6795"/>
    <w:rsid w:val="002A7236"/>
    <w:rsid w:val="002A7AC5"/>
    <w:rsid w:val="002B178D"/>
    <w:rsid w:val="002B1B80"/>
    <w:rsid w:val="002B1FE8"/>
    <w:rsid w:val="002B35AB"/>
    <w:rsid w:val="002B3873"/>
    <w:rsid w:val="002B3E8D"/>
    <w:rsid w:val="002B4531"/>
    <w:rsid w:val="002B4B3E"/>
    <w:rsid w:val="002B4C54"/>
    <w:rsid w:val="002B4C60"/>
    <w:rsid w:val="002B56EB"/>
    <w:rsid w:val="002B5FDE"/>
    <w:rsid w:val="002B6223"/>
    <w:rsid w:val="002B62CF"/>
    <w:rsid w:val="002B6F27"/>
    <w:rsid w:val="002B74EA"/>
    <w:rsid w:val="002B7B86"/>
    <w:rsid w:val="002B7E17"/>
    <w:rsid w:val="002C0F60"/>
    <w:rsid w:val="002C2175"/>
    <w:rsid w:val="002C2393"/>
    <w:rsid w:val="002C25B7"/>
    <w:rsid w:val="002C3137"/>
    <w:rsid w:val="002C3C8B"/>
    <w:rsid w:val="002C483F"/>
    <w:rsid w:val="002C5085"/>
    <w:rsid w:val="002C5139"/>
    <w:rsid w:val="002C5470"/>
    <w:rsid w:val="002C623C"/>
    <w:rsid w:val="002C6982"/>
    <w:rsid w:val="002C6992"/>
    <w:rsid w:val="002C6A36"/>
    <w:rsid w:val="002C6AD5"/>
    <w:rsid w:val="002C79AF"/>
    <w:rsid w:val="002D023B"/>
    <w:rsid w:val="002D098C"/>
    <w:rsid w:val="002D0D87"/>
    <w:rsid w:val="002D320F"/>
    <w:rsid w:val="002D3D75"/>
    <w:rsid w:val="002D4B4F"/>
    <w:rsid w:val="002D4DB6"/>
    <w:rsid w:val="002D4E31"/>
    <w:rsid w:val="002D6184"/>
    <w:rsid w:val="002D6531"/>
    <w:rsid w:val="002D65C6"/>
    <w:rsid w:val="002D7D5C"/>
    <w:rsid w:val="002E06D7"/>
    <w:rsid w:val="002E0814"/>
    <w:rsid w:val="002E1269"/>
    <w:rsid w:val="002E14E5"/>
    <w:rsid w:val="002E1944"/>
    <w:rsid w:val="002E19EF"/>
    <w:rsid w:val="002E2186"/>
    <w:rsid w:val="002E28CF"/>
    <w:rsid w:val="002E3664"/>
    <w:rsid w:val="002E4A47"/>
    <w:rsid w:val="002E5B44"/>
    <w:rsid w:val="002E6B86"/>
    <w:rsid w:val="002E7307"/>
    <w:rsid w:val="002E734F"/>
    <w:rsid w:val="002E77DE"/>
    <w:rsid w:val="002F07D2"/>
    <w:rsid w:val="002F14CA"/>
    <w:rsid w:val="002F24E3"/>
    <w:rsid w:val="002F28AB"/>
    <w:rsid w:val="002F3221"/>
    <w:rsid w:val="002F5301"/>
    <w:rsid w:val="002F5541"/>
    <w:rsid w:val="002F5F9F"/>
    <w:rsid w:val="002F6189"/>
    <w:rsid w:val="002F6BD0"/>
    <w:rsid w:val="002F722B"/>
    <w:rsid w:val="00300CB3"/>
    <w:rsid w:val="003011F7"/>
    <w:rsid w:val="003017A7"/>
    <w:rsid w:val="00301DDF"/>
    <w:rsid w:val="0030258C"/>
    <w:rsid w:val="003025E7"/>
    <w:rsid w:val="00303AD0"/>
    <w:rsid w:val="00303C1C"/>
    <w:rsid w:val="00303DC4"/>
    <w:rsid w:val="003042B5"/>
    <w:rsid w:val="0030503E"/>
    <w:rsid w:val="00306350"/>
    <w:rsid w:val="00306822"/>
    <w:rsid w:val="00307457"/>
    <w:rsid w:val="00307649"/>
    <w:rsid w:val="003076F5"/>
    <w:rsid w:val="00310CAC"/>
    <w:rsid w:val="0031133D"/>
    <w:rsid w:val="00311B94"/>
    <w:rsid w:val="003120CE"/>
    <w:rsid w:val="00312501"/>
    <w:rsid w:val="0031474B"/>
    <w:rsid w:val="003147E4"/>
    <w:rsid w:val="00315512"/>
    <w:rsid w:val="00315588"/>
    <w:rsid w:val="003163E4"/>
    <w:rsid w:val="00316575"/>
    <w:rsid w:val="0031718A"/>
    <w:rsid w:val="003209CF"/>
    <w:rsid w:val="00320BE8"/>
    <w:rsid w:val="003215C0"/>
    <w:rsid w:val="00321C1A"/>
    <w:rsid w:val="00322FAA"/>
    <w:rsid w:val="00323BE7"/>
    <w:rsid w:val="00323D95"/>
    <w:rsid w:val="00324192"/>
    <w:rsid w:val="00324B11"/>
    <w:rsid w:val="00324E55"/>
    <w:rsid w:val="00327689"/>
    <w:rsid w:val="003314BC"/>
    <w:rsid w:val="00331AE8"/>
    <w:rsid w:val="00331DB4"/>
    <w:rsid w:val="00332AE2"/>
    <w:rsid w:val="00332C41"/>
    <w:rsid w:val="00333C68"/>
    <w:rsid w:val="00334120"/>
    <w:rsid w:val="00334D21"/>
    <w:rsid w:val="00334FA9"/>
    <w:rsid w:val="0033515F"/>
    <w:rsid w:val="00336208"/>
    <w:rsid w:val="003369FE"/>
    <w:rsid w:val="00337114"/>
    <w:rsid w:val="00337267"/>
    <w:rsid w:val="00337955"/>
    <w:rsid w:val="00340FDF"/>
    <w:rsid w:val="003412BD"/>
    <w:rsid w:val="0034157A"/>
    <w:rsid w:val="0034174F"/>
    <w:rsid w:val="003420D5"/>
    <w:rsid w:val="003422F3"/>
    <w:rsid w:val="00342574"/>
    <w:rsid w:val="003433B0"/>
    <w:rsid w:val="00343F76"/>
    <w:rsid w:val="0034426F"/>
    <w:rsid w:val="003449A0"/>
    <w:rsid w:val="00344C3E"/>
    <w:rsid w:val="00344E2A"/>
    <w:rsid w:val="003454FF"/>
    <w:rsid w:val="00345952"/>
    <w:rsid w:val="00345B9F"/>
    <w:rsid w:val="00345E13"/>
    <w:rsid w:val="0034671C"/>
    <w:rsid w:val="003473E5"/>
    <w:rsid w:val="003474D6"/>
    <w:rsid w:val="00347BC4"/>
    <w:rsid w:val="00350E12"/>
    <w:rsid w:val="0035177E"/>
    <w:rsid w:val="00351AD0"/>
    <w:rsid w:val="003524D0"/>
    <w:rsid w:val="00353D29"/>
    <w:rsid w:val="00353E2A"/>
    <w:rsid w:val="00354032"/>
    <w:rsid w:val="00354F76"/>
    <w:rsid w:val="003553E8"/>
    <w:rsid w:val="003555FE"/>
    <w:rsid w:val="0035628C"/>
    <w:rsid w:val="003567BE"/>
    <w:rsid w:val="00356B5F"/>
    <w:rsid w:val="00356F77"/>
    <w:rsid w:val="00360931"/>
    <w:rsid w:val="003611E4"/>
    <w:rsid w:val="00362BA7"/>
    <w:rsid w:val="003634A2"/>
    <w:rsid w:val="0036362E"/>
    <w:rsid w:val="003648FA"/>
    <w:rsid w:val="00365251"/>
    <w:rsid w:val="003654C0"/>
    <w:rsid w:val="0036581A"/>
    <w:rsid w:val="0036615A"/>
    <w:rsid w:val="00367BC8"/>
    <w:rsid w:val="00370245"/>
    <w:rsid w:val="003707A6"/>
    <w:rsid w:val="003716E0"/>
    <w:rsid w:val="00371CC7"/>
    <w:rsid w:val="00371EB8"/>
    <w:rsid w:val="00371F4C"/>
    <w:rsid w:val="0037203C"/>
    <w:rsid w:val="003731DB"/>
    <w:rsid w:val="0037359C"/>
    <w:rsid w:val="00373BDF"/>
    <w:rsid w:val="00373D38"/>
    <w:rsid w:val="00375B61"/>
    <w:rsid w:val="00376CEA"/>
    <w:rsid w:val="003809D6"/>
    <w:rsid w:val="00380C78"/>
    <w:rsid w:val="00380DF4"/>
    <w:rsid w:val="00381F00"/>
    <w:rsid w:val="00382C8B"/>
    <w:rsid w:val="00383E63"/>
    <w:rsid w:val="00383FA8"/>
    <w:rsid w:val="00385642"/>
    <w:rsid w:val="00386C48"/>
    <w:rsid w:val="00387260"/>
    <w:rsid w:val="003872D9"/>
    <w:rsid w:val="0038789A"/>
    <w:rsid w:val="00387CE0"/>
    <w:rsid w:val="00391413"/>
    <w:rsid w:val="00391704"/>
    <w:rsid w:val="00391B12"/>
    <w:rsid w:val="00391E33"/>
    <w:rsid w:val="00392297"/>
    <w:rsid w:val="00393599"/>
    <w:rsid w:val="0039399B"/>
    <w:rsid w:val="00393D0C"/>
    <w:rsid w:val="00393EF1"/>
    <w:rsid w:val="00395430"/>
    <w:rsid w:val="0039574A"/>
    <w:rsid w:val="0039614C"/>
    <w:rsid w:val="0039643D"/>
    <w:rsid w:val="00397E79"/>
    <w:rsid w:val="003A017C"/>
    <w:rsid w:val="003A122C"/>
    <w:rsid w:val="003A1718"/>
    <w:rsid w:val="003A23A0"/>
    <w:rsid w:val="003A264C"/>
    <w:rsid w:val="003A2915"/>
    <w:rsid w:val="003A2E5E"/>
    <w:rsid w:val="003A3193"/>
    <w:rsid w:val="003A3639"/>
    <w:rsid w:val="003A3C05"/>
    <w:rsid w:val="003A4E39"/>
    <w:rsid w:val="003A57E5"/>
    <w:rsid w:val="003A639A"/>
    <w:rsid w:val="003A7627"/>
    <w:rsid w:val="003A7993"/>
    <w:rsid w:val="003A7A4E"/>
    <w:rsid w:val="003A7CB0"/>
    <w:rsid w:val="003A7D10"/>
    <w:rsid w:val="003B0973"/>
    <w:rsid w:val="003B0F66"/>
    <w:rsid w:val="003B1043"/>
    <w:rsid w:val="003B160C"/>
    <w:rsid w:val="003B2CC6"/>
    <w:rsid w:val="003B3DE8"/>
    <w:rsid w:val="003B42BB"/>
    <w:rsid w:val="003B4405"/>
    <w:rsid w:val="003B44FD"/>
    <w:rsid w:val="003B46DD"/>
    <w:rsid w:val="003B4AE8"/>
    <w:rsid w:val="003B4E03"/>
    <w:rsid w:val="003B6C36"/>
    <w:rsid w:val="003B71E7"/>
    <w:rsid w:val="003B7F92"/>
    <w:rsid w:val="003C0083"/>
    <w:rsid w:val="003C05CE"/>
    <w:rsid w:val="003C0B91"/>
    <w:rsid w:val="003C11EF"/>
    <w:rsid w:val="003C2ABE"/>
    <w:rsid w:val="003C2B64"/>
    <w:rsid w:val="003C2F52"/>
    <w:rsid w:val="003C314C"/>
    <w:rsid w:val="003C3635"/>
    <w:rsid w:val="003C3887"/>
    <w:rsid w:val="003C4437"/>
    <w:rsid w:val="003C49B9"/>
    <w:rsid w:val="003C51B4"/>
    <w:rsid w:val="003C5A56"/>
    <w:rsid w:val="003D12CA"/>
    <w:rsid w:val="003D1D42"/>
    <w:rsid w:val="003D1E0E"/>
    <w:rsid w:val="003D3D94"/>
    <w:rsid w:val="003D48D8"/>
    <w:rsid w:val="003D615D"/>
    <w:rsid w:val="003D619C"/>
    <w:rsid w:val="003D6A32"/>
    <w:rsid w:val="003D6D56"/>
    <w:rsid w:val="003D77D9"/>
    <w:rsid w:val="003E118B"/>
    <w:rsid w:val="003E130F"/>
    <w:rsid w:val="003E1AE6"/>
    <w:rsid w:val="003E4045"/>
    <w:rsid w:val="003E455C"/>
    <w:rsid w:val="003E4970"/>
    <w:rsid w:val="003E5164"/>
    <w:rsid w:val="003E5549"/>
    <w:rsid w:val="003E55D6"/>
    <w:rsid w:val="003E5D13"/>
    <w:rsid w:val="003F0A81"/>
    <w:rsid w:val="003F3113"/>
    <w:rsid w:val="003F3C72"/>
    <w:rsid w:val="003F4D3B"/>
    <w:rsid w:val="003F6191"/>
    <w:rsid w:val="003F61E9"/>
    <w:rsid w:val="003F6398"/>
    <w:rsid w:val="003F68EA"/>
    <w:rsid w:val="003F6AC7"/>
    <w:rsid w:val="003F759C"/>
    <w:rsid w:val="003F7CE7"/>
    <w:rsid w:val="00400C9D"/>
    <w:rsid w:val="00401455"/>
    <w:rsid w:val="00401DEF"/>
    <w:rsid w:val="00401F82"/>
    <w:rsid w:val="00402847"/>
    <w:rsid w:val="0040301C"/>
    <w:rsid w:val="00403881"/>
    <w:rsid w:val="004039F1"/>
    <w:rsid w:val="004043A6"/>
    <w:rsid w:val="0040470D"/>
    <w:rsid w:val="00404DB1"/>
    <w:rsid w:val="0040532C"/>
    <w:rsid w:val="00405653"/>
    <w:rsid w:val="0040570C"/>
    <w:rsid w:val="0040625E"/>
    <w:rsid w:val="004068B9"/>
    <w:rsid w:val="004102E8"/>
    <w:rsid w:val="0041032A"/>
    <w:rsid w:val="0041093E"/>
    <w:rsid w:val="00410DCB"/>
    <w:rsid w:val="00411D43"/>
    <w:rsid w:val="00411DC7"/>
    <w:rsid w:val="00412049"/>
    <w:rsid w:val="00413448"/>
    <w:rsid w:val="004138A2"/>
    <w:rsid w:val="00413925"/>
    <w:rsid w:val="004144D5"/>
    <w:rsid w:val="004165C1"/>
    <w:rsid w:val="004167CC"/>
    <w:rsid w:val="0041778D"/>
    <w:rsid w:val="00417D7A"/>
    <w:rsid w:val="0042066D"/>
    <w:rsid w:val="004209F1"/>
    <w:rsid w:val="0042304A"/>
    <w:rsid w:val="004230A6"/>
    <w:rsid w:val="00423433"/>
    <w:rsid w:val="00424333"/>
    <w:rsid w:val="00426E69"/>
    <w:rsid w:val="00426F95"/>
    <w:rsid w:val="00427D08"/>
    <w:rsid w:val="004302F0"/>
    <w:rsid w:val="00431695"/>
    <w:rsid w:val="00431B44"/>
    <w:rsid w:val="00432D9C"/>
    <w:rsid w:val="004333A5"/>
    <w:rsid w:val="00435019"/>
    <w:rsid w:val="0043588A"/>
    <w:rsid w:val="0043605D"/>
    <w:rsid w:val="00436171"/>
    <w:rsid w:val="00436B71"/>
    <w:rsid w:val="00437279"/>
    <w:rsid w:val="00437C71"/>
    <w:rsid w:val="0044398A"/>
    <w:rsid w:val="004439A5"/>
    <w:rsid w:val="004439BA"/>
    <w:rsid w:val="00443FFE"/>
    <w:rsid w:val="0044461F"/>
    <w:rsid w:val="00445751"/>
    <w:rsid w:val="00445D19"/>
    <w:rsid w:val="00446949"/>
    <w:rsid w:val="00450560"/>
    <w:rsid w:val="00452486"/>
    <w:rsid w:val="00452C91"/>
    <w:rsid w:val="00452D2A"/>
    <w:rsid w:val="00452D76"/>
    <w:rsid w:val="00453B15"/>
    <w:rsid w:val="00453B92"/>
    <w:rsid w:val="00453F29"/>
    <w:rsid w:val="0045545C"/>
    <w:rsid w:val="004568BA"/>
    <w:rsid w:val="004575EA"/>
    <w:rsid w:val="00460520"/>
    <w:rsid w:val="00460535"/>
    <w:rsid w:val="0046060B"/>
    <w:rsid w:val="00461A99"/>
    <w:rsid w:val="00461D79"/>
    <w:rsid w:val="00461FB3"/>
    <w:rsid w:val="004637A4"/>
    <w:rsid w:val="00463A2A"/>
    <w:rsid w:val="0046434C"/>
    <w:rsid w:val="0046560F"/>
    <w:rsid w:val="00465F45"/>
    <w:rsid w:val="00467383"/>
    <w:rsid w:val="004678DB"/>
    <w:rsid w:val="004678DD"/>
    <w:rsid w:val="00467BC5"/>
    <w:rsid w:val="00467C60"/>
    <w:rsid w:val="00470409"/>
    <w:rsid w:val="0047064D"/>
    <w:rsid w:val="00470A98"/>
    <w:rsid w:val="00470FAB"/>
    <w:rsid w:val="00471BA5"/>
    <w:rsid w:val="00472455"/>
    <w:rsid w:val="00472987"/>
    <w:rsid w:val="00472B3B"/>
    <w:rsid w:val="00473187"/>
    <w:rsid w:val="004736DB"/>
    <w:rsid w:val="0047375C"/>
    <w:rsid w:val="00473E2D"/>
    <w:rsid w:val="00474FA8"/>
    <w:rsid w:val="00475245"/>
    <w:rsid w:val="004753C6"/>
    <w:rsid w:val="00476796"/>
    <w:rsid w:val="0047725D"/>
    <w:rsid w:val="0048188B"/>
    <w:rsid w:val="00481F59"/>
    <w:rsid w:val="00482059"/>
    <w:rsid w:val="004822D3"/>
    <w:rsid w:val="00482394"/>
    <w:rsid w:val="0048240A"/>
    <w:rsid w:val="004826EB"/>
    <w:rsid w:val="00483183"/>
    <w:rsid w:val="004832EA"/>
    <w:rsid w:val="00483BD9"/>
    <w:rsid w:val="004845CA"/>
    <w:rsid w:val="00484E53"/>
    <w:rsid w:val="004854DB"/>
    <w:rsid w:val="00485B4A"/>
    <w:rsid w:val="00485D50"/>
    <w:rsid w:val="00485E26"/>
    <w:rsid w:val="00486A40"/>
    <w:rsid w:val="00490E21"/>
    <w:rsid w:val="00492EE8"/>
    <w:rsid w:val="00493111"/>
    <w:rsid w:val="00493B2E"/>
    <w:rsid w:val="00495695"/>
    <w:rsid w:val="004965BA"/>
    <w:rsid w:val="00497B5D"/>
    <w:rsid w:val="00497DFE"/>
    <w:rsid w:val="004A0071"/>
    <w:rsid w:val="004A04D6"/>
    <w:rsid w:val="004A0784"/>
    <w:rsid w:val="004A1410"/>
    <w:rsid w:val="004A1BBA"/>
    <w:rsid w:val="004A1C13"/>
    <w:rsid w:val="004A1FCF"/>
    <w:rsid w:val="004A217A"/>
    <w:rsid w:val="004A459E"/>
    <w:rsid w:val="004A462E"/>
    <w:rsid w:val="004A4887"/>
    <w:rsid w:val="004A4D69"/>
    <w:rsid w:val="004A4F01"/>
    <w:rsid w:val="004A4F5E"/>
    <w:rsid w:val="004A4FA7"/>
    <w:rsid w:val="004A5891"/>
    <w:rsid w:val="004A7276"/>
    <w:rsid w:val="004A733E"/>
    <w:rsid w:val="004A7507"/>
    <w:rsid w:val="004A7DD0"/>
    <w:rsid w:val="004B0262"/>
    <w:rsid w:val="004B0EC1"/>
    <w:rsid w:val="004B1EC2"/>
    <w:rsid w:val="004B249B"/>
    <w:rsid w:val="004B24B0"/>
    <w:rsid w:val="004B26D1"/>
    <w:rsid w:val="004B3C9E"/>
    <w:rsid w:val="004B3CCB"/>
    <w:rsid w:val="004B3DBF"/>
    <w:rsid w:val="004B4ED9"/>
    <w:rsid w:val="004B584E"/>
    <w:rsid w:val="004B677B"/>
    <w:rsid w:val="004B7260"/>
    <w:rsid w:val="004B7285"/>
    <w:rsid w:val="004B7987"/>
    <w:rsid w:val="004B7BA4"/>
    <w:rsid w:val="004C01F6"/>
    <w:rsid w:val="004C03E1"/>
    <w:rsid w:val="004C13EA"/>
    <w:rsid w:val="004C37DC"/>
    <w:rsid w:val="004C3D16"/>
    <w:rsid w:val="004C5824"/>
    <w:rsid w:val="004C5C01"/>
    <w:rsid w:val="004C7D90"/>
    <w:rsid w:val="004D1343"/>
    <w:rsid w:val="004D185A"/>
    <w:rsid w:val="004D3E95"/>
    <w:rsid w:val="004D4674"/>
    <w:rsid w:val="004D595B"/>
    <w:rsid w:val="004D5CD4"/>
    <w:rsid w:val="004D6046"/>
    <w:rsid w:val="004D6682"/>
    <w:rsid w:val="004D6801"/>
    <w:rsid w:val="004D6D52"/>
    <w:rsid w:val="004D71C1"/>
    <w:rsid w:val="004E0E42"/>
    <w:rsid w:val="004E1EFF"/>
    <w:rsid w:val="004E2D6B"/>
    <w:rsid w:val="004E58BE"/>
    <w:rsid w:val="004E7339"/>
    <w:rsid w:val="004E7DFB"/>
    <w:rsid w:val="004F056A"/>
    <w:rsid w:val="004F4454"/>
    <w:rsid w:val="004F4568"/>
    <w:rsid w:val="004F478D"/>
    <w:rsid w:val="004F51CE"/>
    <w:rsid w:val="004F57C4"/>
    <w:rsid w:val="004F617A"/>
    <w:rsid w:val="004F630D"/>
    <w:rsid w:val="004F6533"/>
    <w:rsid w:val="004F7B26"/>
    <w:rsid w:val="004F7B6C"/>
    <w:rsid w:val="005009DF"/>
    <w:rsid w:val="005009EF"/>
    <w:rsid w:val="00501249"/>
    <w:rsid w:val="00501800"/>
    <w:rsid w:val="0050320A"/>
    <w:rsid w:val="00503F6F"/>
    <w:rsid w:val="00504278"/>
    <w:rsid w:val="005045AF"/>
    <w:rsid w:val="00504DB9"/>
    <w:rsid w:val="00504F18"/>
    <w:rsid w:val="005065A4"/>
    <w:rsid w:val="005071E7"/>
    <w:rsid w:val="00510CC5"/>
    <w:rsid w:val="00510E40"/>
    <w:rsid w:val="005126EC"/>
    <w:rsid w:val="00512E92"/>
    <w:rsid w:val="0051320F"/>
    <w:rsid w:val="00513C0A"/>
    <w:rsid w:val="005147EA"/>
    <w:rsid w:val="00514F99"/>
    <w:rsid w:val="00515181"/>
    <w:rsid w:val="00516B53"/>
    <w:rsid w:val="00517156"/>
    <w:rsid w:val="00517296"/>
    <w:rsid w:val="005202C9"/>
    <w:rsid w:val="00520C9F"/>
    <w:rsid w:val="00521D0F"/>
    <w:rsid w:val="00523FA7"/>
    <w:rsid w:val="0052435A"/>
    <w:rsid w:val="00524F6A"/>
    <w:rsid w:val="00525097"/>
    <w:rsid w:val="00525206"/>
    <w:rsid w:val="0052664E"/>
    <w:rsid w:val="00527309"/>
    <w:rsid w:val="00527671"/>
    <w:rsid w:val="0053094B"/>
    <w:rsid w:val="00530E1F"/>
    <w:rsid w:val="0053269B"/>
    <w:rsid w:val="00532A1B"/>
    <w:rsid w:val="00532C18"/>
    <w:rsid w:val="005331B2"/>
    <w:rsid w:val="00533201"/>
    <w:rsid w:val="00533D46"/>
    <w:rsid w:val="00533F18"/>
    <w:rsid w:val="00534164"/>
    <w:rsid w:val="00535DF6"/>
    <w:rsid w:val="0053691A"/>
    <w:rsid w:val="005369F0"/>
    <w:rsid w:val="005376C6"/>
    <w:rsid w:val="00537703"/>
    <w:rsid w:val="00537F04"/>
    <w:rsid w:val="0054064E"/>
    <w:rsid w:val="005409FB"/>
    <w:rsid w:val="00541B08"/>
    <w:rsid w:val="00543489"/>
    <w:rsid w:val="00544486"/>
    <w:rsid w:val="00544719"/>
    <w:rsid w:val="0054535C"/>
    <w:rsid w:val="00545C5D"/>
    <w:rsid w:val="00546A44"/>
    <w:rsid w:val="00546D85"/>
    <w:rsid w:val="00546EF0"/>
    <w:rsid w:val="00546FC7"/>
    <w:rsid w:val="005471D3"/>
    <w:rsid w:val="00547DAE"/>
    <w:rsid w:val="00550A41"/>
    <w:rsid w:val="00550EFC"/>
    <w:rsid w:val="00551643"/>
    <w:rsid w:val="00551859"/>
    <w:rsid w:val="00551EB4"/>
    <w:rsid w:val="005525C5"/>
    <w:rsid w:val="0055311D"/>
    <w:rsid w:val="00553771"/>
    <w:rsid w:val="005537F2"/>
    <w:rsid w:val="00554075"/>
    <w:rsid w:val="00554943"/>
    <w:rsid w:val="00554AD1"/>
    <w:rsid w:val="00555449"/>
    <w:rsid w:val="005554BA"/>
    <w:rsid w:val="005556E7"/>
    <w:rsid w:val="00555DED"/>
    <w:rsid w:val="005561FB"/>
    <w:rsid w:val="00556704"/>
    <w:rsid w:val="0056089B"/>
    <w:rsid w:val="005631F1"/>
    <w:rsid w:val="00563F56"/>
    <w:rsid w:val="00564216"/>
    <w:rsid w:val="005647B3"/>
    <w:rsid w:val="005651CE"/>
    <w:rsid w:val="00565EBD"/>
    <w:rsid w:val="005664D6"/>
    <w:rsid w:val="005672AC"/>
    <w:rsid w:val="00567571"/>
    <w:rsid w:val="00567F17"/>
    <w:rsid w:val="005700BB"/>
    <w:rsid w:val="00570487"/>
    <w:rsid w:val="00570D85"/>
    <w:rsid w:val="0057433C"/>
    <w:rsid w:val="00574DB5"/>
    <w:rsid w:val="0057578D"/>
    <w:rsid w:val="00575970"/>
    <w:rsid w:val="00576109"/>
    <w:rsid w:val="005762B7"/>
    <w:rsid w:val="00576701"/>
    <w:rsid w:val="0057678D"/>
    <w:rsid w:val="00577DCE"/>
    <w:rsid w:val="00580ABE"/>
    <w:rsid w:val="00581AD4"/>
    <w:rsid w:val="005828DE"/>
    <w:rsid w:val="00583217"/>
    <w:rsid w:val="00584A38"/>
    <w:rsid w:val="00584D9D"/>
    <w:rsid w:val="005863F5"/>
    <w:rsid w:val="00587248"/>
    <w:rsid w:val="005902F5"/>
    <w:rsid w:val="00590919"/>
    <w:rsid w:val="00590B1D"/>
    <w:rsid w:val="00590F9E"/>
    <w:rsid w:val="005911B5"/>
    <w:rsid w:val="005912EF"/>
    <w:rsid w:val="00591427"/>
    <w:rsid w:val="005919C1"/>
    <w:rsid w:val="005926A7"/>
    <w:rsid w:val="0059387D"/>
    <w:rsid w:val="00594880"/>
    <w:rsid w:val="005953EA"/>
    <w:rsid w:val="005964FB"/>
    <w:rsid w:val="00596A44"/>
    <w:rsid w:val="00596E20"/>
    <w:rsid w:val="00597214"/>
    <w:rsid w:val="00597A68"/>
    <w:rsid w:val="00597B17"/>
    <w:rsid w:val="005A0021"/>
    <w:rsid w:val="005A002B"/>
    <w:rsid w:val="005A0190"/>
    <w:rsid w:val="005A02C3"/>
    <w:rsid w:val="005A1973"/>
    <w:rsid w:val="005A262C"/>
    <w:rsid w:val="005A2BB7"/>
    <w:rsid w:val="005A375E"/>
    <w:rsid w:val="005A40FD"/>
    <w:rsid w:val="005A4B18"/>
    <w:rsid w:val="005A6C26"/>
    <w:rsid w:val="005B0F1B"/>
    <w:rsid w:val="005B159D"/>
    <w:rsid w:val="005B1A05"/>
    <w:rsid w:val="005B1F29"/>
    <w:rsid w:val="005B218C"/>
    <w:rsid w:val="005B259B"/>
    <w:rsid w:val="005B2A0E"/>
    <w:rsid w:val="005B2D57"/>
    <w:rsid w:val="005B3561"/>
    <w:rsid w:val="005B3B35"/>
    <w:rsid w:val="005B3D70"/>
    <w:rsid w:val="005B4891"/>
    <w:rsid w:val="005B511B"/>
    <w:rsid w:val="005B5B9D"/>
    <w:rsid w:val="005B6763"/>
    <w:rsid w:val="005B68AE"/>
    <w:rsid w:val="005B6CBB"/>
    <w:rsid w:val="005B752F"/>
    <w:rsid w:val="005B7907"/>
    <w:rsid w:val="005B7B7B"/>
    <w:rsid w:val="005C038B"/>
    <w:rsid w:val="005C17E7"/>
    <w:rsid w:val="005C273A"/>
    <w:rsid w:val="005C3348"/>
    <w:rsid w:val="005C376C"/>
    <w:rsid w:val="005C3779"/>
    <w:rsid w:val="005C3CD7"/>
    <w:rsid w:val="005C4A59"/>
    <w:rsid w:val="005C4ECF"/>
    <w:rsid w:val="005C5A49"/>
    <w:rsid w:val="005C5B65"/>
    <w:rsid w:val="005C5C53"/>
    <w:rsid w:val="005C5D18"/>
    <w:rsid w:val="005C6C90"/>
    <w:rsid w:val="005C7719"/>
    <w:rsid w:val="005D016F"/>
    <w:rsid w:val="005D09CC"/>
    <w:rsid w:val="005D0F12"/>
    <w:rsid w:val="005D120C"/>
    <w:rsid w:val="005D2E97"/>
    <w:rsid w:val="005D3213"/>
    <w:rsid w:val="005D41C9"/>
    <w:rsid w:val="005D4C23"/>
    <w:rsid w:val="005D4EC3"/>
    <w:rsid w:val="005D507B"/>
    <w:rsid w:val="005D5660"/>
    <w:rsid w:val="005D5FEC"/>
    <w:rsid w:val="005D7EA9"/>
    <w:rsid w:val="005D7F8C"/>
    <w:rsid w:val="005E03C8"/>
    <w:rsid w:val="005E0CFF"/>
    <w:rsid w:val="005E128C"/>
    <w:rsid w:val="005E15B3"/>
    <w:rsid w:val="005E2E64"/>
    <w:rsid w:val="005E3AF0"/>
    <w:rsid w:val="005E424E"/>
    <w:rsid w:val="005E4914"/>
    <w:rsid w:val="005E55BC"/>
    <w:rsid w:val="005E5CAB"/>
    <w:rsid w:val="005F01DD"/>
    <w:rsid w:val="005F0B0F"/>
    <w:rsid w:val="005F0D71"/>
    <w:rsid w:val="005F11D7"/>
    <w:rsid w:val="005F236C"/>
    <w:rsid w:val="005F2F0F"/>
    <w:rsid w:val="005F2FF5"/>
    <w:rsid w:val="005F3BBE"/>
    <w:rsid w:val="005F3BC2"/>
    <w:rsid w:val="005F4738"/>
    <w:rsid w:val="005F4E1C"/>
    <w:rsid w:val="005F4E97"/>
    <w:rsid w:val="005F4F1C"/>
    <w:rsid w:val="005F51F5"/>
    <w:rsid w:val="005F5297"/>
    <w:rsid w:val="005F55C1"/>
    <w:rsid w:val="005F57D4"/>
    <w:rsid w:val="005F5F61"/>
    <w:rsid w:val="005F6F31"/>
    <w:rsid w:val="006005EB"/>
    <w:rsid w:val="006005F9"/>
    <w:rsid w:val="006008C5"/>
    <w:rsid w:val="00600DC3"/>
    <w:rsid w:val="0060169F"/>
    <w:rsid w:val="0060216C"/>
    <w:rsid w:val="0060271F"/>
    <w:rsid w:val="0060280C"/>
    <w:rsid w:val="00604259"/>
    <w:rsid w:val="00604E11"/>
    <w:rsid w:val="006052F2"/>
    <w:rsid w:val="00606401"/>
    <w:rsid w:val="0060647B"/>
    <w:rsid w:val="00607C4F"/>
    <w:rsid w:val="00607D87"/>
    <w:rsid w:val="00610142"/>
    <w:rsid w:val="006126B9"/>
    <w:rsid w:val="00612A09"/>
    <w:rsid w:val="00615DCC"/>
    <w:rsid w:val="00616065"/>
    <w:rsid w:val="00617864"/>
    <w:rsid w:val="00617D03"/>
    <w:rsid w:val="00620B3F"/>
    <w:rsid w:val="00621192"/>
    <w:rsid w:val="0062124F"/>
    <w:rsid w:val="00622A7F"/>
    <w:rsid w:val="006242AE"/>
    <w:rsid w:val="006242C8"/>
    <w:rsid w:val="00624CA1"/>
    <w:rsid w:val="00626672"/>
    <w:rsid w:val="00626EB7"/>
    <w:rsid w:val="00627789"/>
    <w:rsid w:val="00627DF3"/>
    <w:rsid w:val="006300B5"/>
    <w:rsid w:val="00630453"/>
    <w:rsid w:val="00630C86"/>
    <w:rsid w:val="006319D8"/>
    <w:rsid w:val="00632768"/>
    <w:rsid w:val="00632C76"/>
    <w:rsid w:val="00633ECD"/>
    <w:rsid w:val="0063447D"/>
    <w:rsid w:val="00636FDC"/>
    <w:rsid w:val="006372E6"/>
    <w:rsid w:val="00637447"/>
    <w:rsid w:val="0063779C"/>
    <w:rsid w:val="00640010"/>
    <w:rsid w:val="006400BB"/>
    <w:rsid w:val="00640188"/>
    <w:rsid w:val="006406EE"/>
    <w:rsid w:val="00640D0B"/>
    <w:rsid w:val="00642082"/>
    <w:rsid w:val="0064236D"/>
    <w:rsid w:val="0064333C"/>
    <w:rsid w:val="00643964"/>
    <w:rsid w:val="00643E62"/>
    <w:rsid w:val="006452F5"/>
    <w:rsid w:val="006474EA"/>
    <w:rsid w:val="006477C3"/>
    <w:rsid w:val="0064786D"/>
    <w:rsid w:val="00651398"/>
    <w:rsid w:val="00652055"/>
    <w:rsid w:val="0065206B"/>
    <w:rsid w:val="00652D91"/>
    <w:rsid w:val="00653B13"/>
    <w:rsid w:val="00654616"/>
    <w:rsid w:val="0065528B"/>
    <w:rsid w:val="00655D60"/>
    <w:rsid w:val="00655EF4"/>
    <w:rsid w:val="00655F7A"/>
    <w:rsid w:val="0065623D"/>
    <w:rsid w:val="006563F0"/>
    <w:rsid w:val="00657B41"/>
    <w:rsid w:val="00657F66"/>
    <w:rsid w:val="006602C5"/>
    <w:rsid w:val="006620F3"/>
    <w:rsid w:val="006622E8"/>
    <w:rsid w:val="00662D50"/>
    <w:rsid w:val="00662E30"/>
    <w:rsid w:val="00662EE4"/>
    <w:rsid w:val="00662F7D"/>
    <w:rsid w:val="00663782"/>
    <w:rsid w:val="00665787"/>
    <w:rsid w:val="00665D5F"/>
    <w:rsid w:val="0066654A"/>
    <w:rsid w:val="0066672E"/>
    <w:rsid w:val="00666A12"/>
    <w:rsid w:val="00666C3A"/>
    <w:rsid w:val="00666C71"/>
    <w:rsid w:val="00666CA0"/>
    <w:rsid w:val="00671012"/>
    <w:rsid w:val="0067146C"/>
    <w:rsid w:val="006719BB"/>
    <w:rsid w:val="00673065"/>
    <w:rsid w:val="00673332"/>
    <w:rsid w:val="00673527"/>
    <w:rsid w:val="00674843"/>
    <w:rsid w:val="00674CB1"/>
    <w:rsid w:val="00674E2E"/>
    <w:rsid w:val="0067596C"/>
    <w:rsid w:val="00675C9D"/>
    <w:rsid w:val="00675E26"/>
    <w:rsid w:val="00676324"/>
    <w:rsid w:val="006769B0"/>
    <w:rsid w:val="00676B61"/>
    <w:rsid w:val="00677A03"/>
    <w:rsid w:val="00677D89"/>
    <w:rsid w:val="00680B2A"/>
    <w:rsid w:val="00681CE3"/>
    <w:rsid w:val="00681EA5"/>
    <w:rsid w:val="006821D1"/>
    <w:rsid w:val="0068272D"/>
    <w:rsid w:val="006828CC"/>
    <w:rsid w:val="00682B15"/>
    <w:rsid w:val="00683409"/>
    <w:rsid w:val="00684C34"/>
    <w:rsid w:val="00685BE9"/>
    <w:rsid w:val="00686360"/>
    <w:rsid w:val="00686734"/>
    <w:rsid w:val="00686ECC"/>
    <w:rsid w:val="006903AF"/>
    <w:rsid w:val="00692251"/>
    <w:rsid w:val="006923FE"/>
    <w:rsid w:val="00693302"/>
    <w:rsid w:val="00693388"/>
    <w:rsid w:val="00694C91"/>
    <w:rsid w:val="006951B0"/>
    <w:rsid w:val="00695C1C"/>
    <w:rsid w:val="00695C5C"/>
    <w:rsid w:val="00696604"/>
    <w:rsid w:val="006977E2"/>
    <w:rsid w:val="006A1235"/>
    <w:rsid w:val="006A1664"/>
    <w:rsid w:val="006A1C4D"/>
    <w:rsid w:val="006A23BE"/>
    <w:rsid w:val="006A2CFC"/>
    <w:rsid w:val="006A3891"/>
    <w:rsid w:val="006A3D98"/>
    <w:rsid w:val="006A4185"/>
    <w:rsid w:val="006A4DDB"/>
    <w:rsid w:val="006A50D8"/>
    <w:rsid w:val="006A56DC"/>
    <w:rsid w:val="006B12A6"/>
    <w:rsid w:val="006B1E43"/>
    <w:rsid w:val="006B2549"/>
    <w:rsid w:val="006B2B31"/>
    <w:rsid w:val="006B306A"/>
    <w:rsid w:val="006B4121"/>
    <w:rsid w:val="006B4AE2"/>
    <w:rsid w:val="006B4C2A"/>
    <w:rsid w:val="006B723F"/>
    <w:rsid w:val="006B7D22"/>
    <w:rsid w:val="006C10EC"/>
    <w:rsid w:val="006C13D1"/>
    <w:rsid w:val="006C175B"/>
    <w:rsid w:val="006C3B0A"/>
    <w:rsid w:val="006C4414"/>
    <w:rsid w:val="006C4B2D"/>
    <w:rsid w:val="006C772F"/>
    <w:rsid w:val="006C7A98"/>
    <w:rsid w:val="006D0255"/>
    <w:rsid w:val="006D0DA2"/>
    <w:rsid w:val="006D1015"/>
    <w:rsid w:val="006D19C2"/>
    <w:rsid w:val="006D1D01"/>
    <w:rsid w:val="006D2350"/>
    <w:rsid w:val="006D3CD2"/>
    <w:rsid w:val="006D42A1"/>
    <w:rsid w:val="006D6B05"/>
    <w:rsid w:val="006D6DA8"/>
    <w:rsid w:val="006D7CE6"/>
    <w:rsid w:val="006E0A95"/>
    <w:rsid w:val="006E291F"/>
    <w:rsid w:val="006E2E25"/>
    <w:rsid w:val="006E3F63"/>
    <w:rsid w:val="006E489A"/>
    <w:rsid w:val="006E4A9D"/>
    <w:rsid w:val="006E4AA7"/>
    <w:rsid w:val="006E4DD5"/>
    <w:rsid w:val="006E57E3"/>
    <w:rsid w:val="006E7F3E"/>
    <w:rsid w:val="006F021C"/>
    <w:rsid w:val="006F2687"/>
    <w:rsid w:val="006F2C25"/>
    <w:rsid w:val="006F308D"/>
    <w:rsid w:val="006F3546"/>
    <w:rsid w:val="006F39B8"/>
    <w:rsid w:val="006F3BB2"/>
    <w:rsid w:val="006F50DA"/>
    <w:rsid w:val="006F5BAD"/>
    <w:rsid w:val="006F6169"/>
    <w:rsid w:val="006F61D7"/>
    <w:rsid w:val="006F635E"/>
    <w:rsid w:val="006F6917"/>
    <w:rsid w:val="006F6C0E"/>
    <w:rsid w:val="006F6E04"/>
    <w:rsid w:val="006F73E8"/>
    <w:rsid w:val="006F7625"/>
    <w:rsid w:val="006F7A90"/>
    <w:rsid w:val="006F7B00"/>
    <w:rsid w:val="007001D7"/>
    <w:rsid w:val="00701719"/>
    <w:rsid w:val="007043D8"/>
    <w:rsid w:val="00704434"/>
    <w:rsid w:val="00704A08"/>
    <w:rsid w:val="0070647B"/>
    <w:rsid w:val="00707AA7"/>
    <w:rsid w:val="00707B00"/>
    <w:rsid w:val="007106A2"/>
    <w:rsid w:val="00710D8C"/>
    <w:rsid w:val="00712445"/>
    <w:rsid w:val="00713697"/>
    <w:rsid w:val="00713A36"/>
    <w:rsid w:val="00715124"/>
    <w:rsid w:val="00716313"/>
    <w:rsid w:val="00716DEF"/>
    <w:rsid w:val="00716F99"/>
    <w:rsid w:val="00717872"/>
    <w:rsid w:val="00717AF0"/>
    <w:rsid w:val="00717F4E"/>
    <w:rsid w:val="00720132"/>
    <w:rsid w:val="007201BB"/>
    <w:rsid w:val="007221BB"/>
    <w:rsid w:val="0072226D"/>
    <w:rsid w:val="00723754"/>
    <w:rsid w:val="007243C6"/>
    <w:rsid w:val="007245C8"/>
    <w:rsid w:val="00724799"/>
    <w:rsid w:val="0072513A"/>
    <w:rsid w:val="0072559F"/>
    <w:rsid w:val="007255D7"/>
    <w:rsid w:val="00726A28"/>
    <w:rsid w:val="0073096D"/>
    <w:rsid w:val="0073159C"/>
    <w:rsid w:val="00731858"/>
    <w:rsid w:val="00731C23"/>
    <w:rsid w:val="007350C0"/>
    <w:rsid w:val="00736E74"/>
    <w:rsid w:val="007371EC"/>
    <w:rsid w:val="00737463"/>
    <w:rsid w:val="0074091A"/>
    <w:rsid w:val="00742061"/>
    <w:rsid w:val="007423D9"/>
    <w:rsid w:val="007442D9"/>
    <w:rsid w:val="007445FF"/>
    <w:rsid w:val="00746140"/>
    <w:rsid w:val="00746288"/>
    <w:rsid w:val="007473F6"/>
    <w:rsid w:val="00747CB4"/>
    <w:rsid w:val="00747D7B"/>
    <w:rsid w:val="00750733"/>
    <w:rsid w:val="007508C5"/>
    <w:rsid w:val="00751049"/>
    <w:rsid w:val="007517E4"/>
    <w:rsid w:val="00751B95"/>
    <w:rsid w:val="00751FF5"/>
    <w:rsid w:val="007520FE"/>
    <w:rsid w:val="00752247"/>
    <w:rsid w:val="007523B5"/>
    <w:rsid w:val="00753DCF"/>
    <w:rsid w:val="007545AF"/>
    <w:rsid w:val="007567CD"/>
    <w:rsid w:val="00756A70"/>
    <w:rsid w:val="00757122"/>
    <w:rsid w:val="00757FE6"/>
    <w:rsid w:val="00760DB7"/>
    <w:rsid w:val="007616EC"/>
    <w:rsid w:val="00761C80"/>
    <w:rsid w:val="007623B1"/>
    <w:rsid w:val="007624E2"/>
    <w:rsid w:val="007630E7"/>
    <w:rsid w:val="0076378A"/>
    <w:rsid w:val="007649BC"/>
    <w:rsid w:val="00764E68"/>
    <w:rsid w:val="007661AE"/>
    <w:rsid w:val="00766E0B"/>
    <w:rsid w:val="0076708C"/>
    <w:rsid w:val="00767B59"/>
    <w:rsid w:val="00767E4C"/>
    <w:rsid w:val="0077063F"/>
    <w:rsid w:val="00770E56"/>
    <w:rsid w:val="007721D3"/>
    <w:rsid w:val="00772A06"/>
    <w:rsid w:val="0077357C"/>
    <w:rsid w:val="00773955"/>
    <w:rsid w:val="00773A01"/>
    <w:rsid w:val="00773D60"/>
    <w:rsid w:val="0077477E"/>
    <w:rsid w:val="00776B11"/>
    <w:rsid w:val="00777F97"/>
    <w:rsid w:val="0078147E"/>
    <w:rsid w:val="00781E39"/>
    <w:rsid w:val="00782D4C"/>
    <w:rsid w:val="0078304D"/>
    <w:rsid w:val="0078315E"/>
    <w:rsid w:val="00783427"/>
    <w:rsid w:val="00783D61"/>
    <w:rsid w:val="00783E85"/>
    <w:rsid w:val="00783F98"/>
    <w:rsid w:val="00784B7C"/>
    <w:rsid w:val="00784CEB"/>
    <w:rsid w:val="00785629"/>
    <w:rsid w:val="0078602C"/>
    <w:rsid w:val="007865E9"/>
    <w:rsid w:val="0078678C"/>
    <w:rsid w:val="007876EB"/>
    <w:rsid w:val="00792E9E"/>
    <w:rsid w:val="007938E1"/>
    <w:rsid w:val="00795813"/>
    <w:rsid w:val="00796867"/>
    <w:rsid w:val="007A0B80"/>
    <w:rsid w:val="007A2378"/>
    <w:rsid w:val="007A31F2"/>
    <w:rsid w:val="007A3530"/>
    <w:rsid w:val="007A386A"/>
    <w:rsid w:val="007A4799"/>
    <w:rsid w:val="007A4E97"/>
    <w:rsid w:val="007A53A0"/>
    <w:rsid w:val="007A5F90"/>
    <w:rsid w:val="007A60D9"/>
    <w:rsid w:val="007A6B95"/>
    <w:rsid w:val="007A6C15"/>
    <w:rsid w:val="007A7855"/>
    <w:rsid w:val="007A793F"/>
    <w:rsid w:val="007A7C09"/>
    <w:rsid w:val="007A7C81"/>
    <w:rsid w:val="007B0099"/>
    <w:rsid w:val="007B04D0"/>
    <w:rsid w:val="007B0614"/>
    <w:rsid w:val="007B07CA"/>
    <w:rsid w:val="007B0A12"/>
    <w:rsid w:val="007B191C"/>
    <w:rsid w:val="007B1A91"/>
    <w:rsid w:val="007B283B"/>
    <w:rsid w:val="007B2961"/>
    <w:rsid w:val="007B3171"/>
    <w:rsid w:val="007B3C09"/>
    <w:rsid w:val="007B470A"/>
    <w:rsid w:val="007C145A"/>
    <w:rsid w:val="007C17B1"/>
    <w:rsid w:val="007C1AE8"/>
    <w:rsid w:val="007C2EB6"/>
    <w:rsid w:val="007C3387"/>
    <w:rsid w:val="007C355E"/>
    <w:rsid w:val="007C3A89"/>
    <w:rsid w:val="007C646D"/>
    <w:rsid w:val="007C6694"/>
    <w:rsid w:val="007C708E"/>
    <w:rsid w:val="007C7A4D"/>
    <w:rsid w:val="007C7C34"/>
    <w:rsid w:val="007C7CDC"/>
    <w:rsid w:val="007D0034"/>
    <w:rsid w:val="007D004C"/>
    <w:rsid w:val="007D012A"/>
    <w:rsid w:val="007D096F"/>
    <w:rsid w:val="007D0F7B"/>
    <w:rsid w:val="007D146C"/>
    <w:rsid w:val="007D2539"/>
    <w:rsid w:val="007D2CBE"/>
    <w:rsid w:val="007D31B5"/>
    <w:rsid w:val="007D34AE"/>
    <w:rsid w:val="007D38D1"/>
    <w:rsid w:val="007D4301"/>
    <w:rsid w:val="007D6568"/>
    <w:rsid w:val="007D6ABB"/>
    <w:rsid w:val="007D7A29"/>
    <w:rsid w:val="007E08A3"/>
    <w:rsid w:val="007E2177"/>
    <w:rsid w:val="007E375B"/>
    <w:rsid w:val="007E430C"/>
    <w:rsid w:val="007E4981"/>
    <w:rsid w:val="007E4C0A"/>
    <w:rsid w:val="007E4D3A"/>
    <w:rsid w:val="007E533C"/>
    <w:rsid w:val="007E63E6"/>
    <w:rsid w:val="007E78B8"/>
    <w:rsid w:val="007E7A6C"/>
    <w:rsid w:val="007E7AD4"/>
    <w:rsid w:val="007F1105"/>
    <w:rsid w:val="007F239F"/>
    <w:rsid w:val="007F27BE"/>
    <w:rsid w:val="007F304A"/>
    <w:rsid w:val="007F3A36"/>
    <w:rsid w:val="007F3F53"/>
    <w:rsid w:val="007F4F7B"/>
    <w:rsid w:val="007F5F0F"/>
    <w:rsid w:val="007F5FD9"/>
    <w:rsid w:val="007F62E2"/>
    <w:rsid w:val="007F6537"/>
    <w:rsid w:val="007F6C01"/>
    <w:rsid w:val="007F6E7C"/>
    <w:rsid w:val="007F6FE7"/>
    <w:rsid w:val="008008ED"/>
    <w:rsid w:val="00800D3C"/>
    <w:rsid w:val="00800FD1"/>
    <w:rsid w:val="0080111D"/>
    <w:rsid w:val="008012D6"/>
    <w:rsid w:val="00801C71"/>
    <w:rsid w:val="00801EC2"/>
    <w:rsid w:val="0080240C"/>
    <w:rsid w:val="00802DE7"/>
    <w:rsid w:val="00803920"/>
    <w:rsid w:val="00804A4F"/>
    <w:rsid w:val="00804A74"/>
    <w:rsid w:val="00804C3A"/>
    <w:rsid w:val="00804F59"/>
    <w:rsid w:val="0080597C"/>
    <w:rsid w:val="00805CEC"/>
    <w:rsid w:val="00805CFC"/>
    <w:rsid w:val="00805DB3"/>
    <w:rsid w:val="00806E6A"/>
    <w:rsid w:val="008070E0"/>
    <w:rsid w:val="0080773F"/>
    <w:rsid w:val="00807789"/>
    <w:rsid w:val="00810221"/>
    <w:rsid w:val="008117EB"/>
    <w:rsid w:val="00811A51"/>
    <w:rsid w:val="0081201B"/>
    <w:rsid w:val="0081234F"/>
    <w:rsid w:val="00812D89"/>
    <w:rsid w:val="008135BA"/>
    <w:rsid w:val="00814262"/>
    <w:rsid w:val="0081490D"/>
    <w:rsid w:val="00815FA1"/>
    <w:rsid w:val="0081613D"/>
    <w:rsid w:val="0081663E"/>
    <w:rsid w:val="008167C6"/>
    <w:rsid w:val="0081776C"/>
    <w:rsid w:val="00817862"/>
    <w:rsid w:val="00817EE6"/>
    <w:rsid w:val="00820307"/>
    <w:rsid w:val="0082084A"/>
    <w:rsid w:val="0082108F"/>
    <w:rsid w:val="0082167E"/>
    <w:rsid w:val="00821793"/>
    <w:rsid w:val="0082224E"/>
    <w:rsid w:val="008227DD"/>
    <w:rsid w:val="00823071"/>
    <w:rsid w:val="008237A7"/>
    <w:rsid w:val="00823FB1"/>
    <w:rsid w:val="008244AF"/>
    <w:rsid w:val="008246CF"/>
    <w:rsid w:val="00824CE5"/>
    <w:rsid w:val="00824D51"/>
    <w:rsid w:val="008269EF"/>
    <w:rsid w:val="00826FA9"/>
    <w:rsid w:val="00827A3F"/>
    <w:rsid w:val="00827D3F"/>
    <w:rsid w:val="008300FA"/>
    <w:rsid w:val="00830E68"/>
    <w:rsid w:val="00831A70"/>
    <w:rsid w:val="008323B2"/>
    <w:rsid w:val="00834729"/>
    <w:rsid w:val="00834ED4"/>
    <w:rsid w:val="008353C4"/>
    <w:rsid w:val="0083550E"/>
    <w:rsid w:val="00835A83"/>
    <w:rsid w:val="008360CC"/>
    <w:rsid w:val="008361FB"/>
    <w:rsid w:val="008368C8"/>
    <w:rsid w:val="00837040"/>
    <w:rsid w:val="0083783F"/>
    <w:rsid w:val="0083792C"/>
    <w:rsid w:val="008379B8"/>
    <w:rsid w:val="00840B36"/>
    <w:rsid w:val="008418D4"/>
    <w:rsid w:val="00842BC3"/>
    <w:rsid w:val="008432E9"/>
    <w:rsid w:val="008447B4"/>
    <w:rsid w:val="00844B27"/>
    <w:rsid w:val="0084525E"/>
    <w:rsid w:val="008467AA"/>
    <w:rsid w:val="00846AEB"/>
    <w:rsid w:val="00846D1F"/>
    <w:rsid w:val="00850E25"/>
    <w:rsid w:val="00851198"/>
    <w:rsid w:val="008512DC"/>
    <w:rsid w:val="00851D2E"/>
    <w:rsid w:val="00851E47"/>
    <w:rsid w:val="008520A4"/>
    <w:rsid w:val="0085462E"/>
    <w:rsid w:val="00855DBE"/>
    <w:rsid w:val="0085636F"/>
    <w:rsid w:val="00856E6C"/>
    <w:rsid w:val="00856FA8"/>
    <w:rsid w:val="0085742F"/>
    <w:rsid w:val="0086047D"/>
    <w:rsid w:val="00860794"/>
    <w:rsid w:val="00860A54"/>
    <w:rsid w:val="00860C0D"/>
    <w:rsid w:val="00860D8E"/>
    <w:rsid w:val="008618A7"/>
    <w:rsid w:val="00861ABD"/>
    <w:rsid w:val="0086420D"/>
    <w:rsid w:val="00864751"/>
    <w:rsid w:val="00865CC2"/>
    <w:rsid w:val="00870266"/>
    <w:rsid w:val="0087028A"/>
    <w:rsid w:val="00870681"/>
    <w:rsid w:val="00871FC4"/>
    <w:rsid w:val="0087238A"/>
    <w:rsid w:val="00872C3C"/>
    <w:rsid w:val="008733C2"/>
    <w:rsid w:val="00875F85"/>
    <w:rsid w:val="00877401"/>
    <w:rsid w:val="0087792B"/>
    <w:rsid w:val="00877F70"/>
    <w:rsid w:val="00877F72"/>
    <w:rsid w:val="008805F3"/>
    <w:rsid w:val="008816B6"/>
    <w:rsid w:val="00881B29"/>
    <w:rsid w:val="00882E6E"/>
    <w:rsid w:val="00883389"/>
    <w:rsid w:val="008833FB"/>
    <w:rsid w:val="0088387E"/>
    <w:rsid w:val="008859FE"/>
    <w:rsid w:val="00885DF0"/>
    <w:rsid w:val="00885EAB"/>
    <w:rsid w:val="00885ECA"/>
    <w:rsid w:val="0089083A"/>
    <w:rsid w:val="00891C9C"/>
    <w:rsid w:val="00891EE5"/>
    <w:rsid w:val="00892B8D"/>
    <w:rsid w:val="00892BEA"/>
    <w:rsid w:val="008931ED"/>
    <w:rsid w:val="0089443D"/>
    <w:rsid w:val="00894DFF"/>
    <w:rsid w:val="00895209"/>
    <w:rsid w:val="00895452"/>
    <w:rsid w:val="00895989"/>
    <w:rsid w:val="00895D2A"/>
    <w:rsid w:val="00895FF4"/>
    <w:rsid w:val="008A51CD"/>
    <w:rsid w:val="008A5750"/>
    <w:rsid w:val="008A5F1E"/>
    <w:rsid w:val="008A62BE"/>
    <w:rsid w:val="008A62F1"/>
    <w:rsid w:val="008A6B48"/>
    <w:rsid w:val="008A7255"/>
    <w:rsid w:val="008A7B5D"/>
    <w:rsid w:val="008A7D46"/>
    <w:rsid w:val="008B1B55"/>
    <w:rsid w:val="008B3D1A"/>
    <w:rsid w:val="008B3DAD"/>
    <w:rsid w:val="008B53B9"/>
    <w:rsid w:val="008B64C8"/>
    <w:rsid w:val="008B68DE"/>
    <w:rsid w:val="008B77FB"/>
    <w:rsid w:val="008C0906"/>
    <w:rsid w:val="008C2DC8"/>
    <w:rsid w:val="008C3AA5"/>
    <w:rsid w:val="008C539A"/>
    <w:rsid w:val="008C540D"/>
    <w:rsid w:val="008C582E"/>
    <w:rsid w:val="008C6AF6"/>
    <w:rsid w:val="008D1252"/>
    <w:rsid w:val="008D14EC"/>
    <w:rsid w:val="008D1687"/>
    <w:rsid w:val="008D1E87"/>
    <w:rsid w:val="008D2A57"/>
    <w:rsid w:val="008D3611"/>
    <w:rsid w:val="008D49BC"/>
    <w:rsid w:val="008D5252"/>
    <w:rsid w:val="008D6654"/>
    <w:rsid w:val="008D72E0"/>
    <w:rsid w:val="008E0F08"/>
    <w:rsid w:val="008E0F1C"/>
    <w:rsid w:val="008E1E4E"/>
    <w:rsid w:val="008E233A"/>
    <w:rsid w:val="008E3071"/>
    <w:rsid w:val="008E3B40"/>
    <w:rsid w:val="008E41A5"/>
    <w:rsid w:val="008E425F"/>
    <w:rsid w:val="008E4F4A"/>
    <w:rsid w:val="008E55C9"/>
    <w:rsid w:val="008E5D92"/>
    <w:rsid w:val="008E5DF2"/>
    <w:rsid w:val="008E6F57"/>
    <w:rsid w:val="008E708B"/>
    <w:rsid w:val="008F1011"/>
    <w:rsid w:val="008F11B6"/>
    <w:rsid w:val="008F126A"/>
    <w:rsid w:val="008F1424"/>
    <w:rsid w:val="008F1B3C"/>
    <w:rsid w:val="008F27CF"/>
    <w:rsid w:val="008F3041"/>
    <w:rsid w:val="008F336C"/>
    <w:rsid w:val="008F355A"/>
    <w:rsid w:val="008F5C36"/>
    <w:rsid w:val="008F629B"/>
    <w:rsid w:val="008F6C9B"/>
    <w:rsid w:val="008F6D57"/>
    <w:rsid w:val="008F767B"/>
    <w:rsid w:val="008F790B"/>
    <w:rsid w:val="009001DD"/>
    <w:rsid w:val="00900340"/>
    <w:rsid w:val="00900FC1"/>
    <w:rsid w:val="00901110"/>
    <w:rsid w:val="00901DF6"/>
    <w:rsid w:val="009039A4"/>
    <w:rsid w:val="009046B2"/>
    <w:rsid w:val="009068C6"/>
    <w:rsid w:val="009068C9"/>
    <w:rsid w:val="00906E51"/>
    <w:rsid w:val="00907752"/>
    <w:rsid w:val="00907C18"/>
    <w:rsid w:val="00910409"/>
    <w:rsid w:val="009106F4"/>
    <w:rsid w:val="00911AEC"/>
    <w:rsid w:val="00911E5C"/>
    <w:rsid w:val="00912744"/>
    <w:rsid w:val="0091397E"/>
    <w:rsid w:val="009139AE"/>
    <w:rsid w:val="00914271"/>
    <w:rsid w:val="009150FB"/>
    <w:rsid w:val="00915127"/>
    <w:rsid w:val="00915174"/>
    <w:rsid w:val="00915A38"/>
    <w:rsid w:val="00916494"/>
    <w:rsid w:val="00917DAB"/>
    <w:rsid w:val="00917F59"/>
    <w:rsid w:val="00920AA0"/>
    <w:rsid w:val="00920C94"/>
    <w:rsid w:val="00920E21"/>
    <w:rsid w:val="0092176E"/>
    <w:rsid w:val="009225E9"/>
    <w:rsid w:val="00922CD8"/>
    <w:rsid w:val="00923C61"/>
    <w:rsid w:val="009245B5"/>
    <w:rsid w:val="00924682"/>
    <w:rsid w:val="0092547F"/>
    <w:rsid w:val="00925BC7"/>
    <w:rsid w:val="00926079"/>
    <w:rsid w:val="0092678C"/>
    <w:rsid w:val="009268AF"/>
    <w:rsid w:val="00926DF7"/>
    <w:rsid w:val="00927455"/>
    <w:rsid w:val="00927A7C"/>
    <w:rsid w:val="00927F03"/>
    <w:rsid w:val="00930652"/>
    <w:rsid w:val="00931365"/>
    <w:rsid w:val="009328E6"/>
    <w:rsid w:val="00932EBC"/>
    <w:rsid w:val="009337BF"/>
    <w:rsid w:val="009338E6"/>
    <w:rsid w:val="00933FD1"/>
    <w:rsid w:val="00935191"/>
    <w:rsid w:val="00935297"/>
    <w:rsid w:val="0093614E"/>
    <w:rsid w:val="009365B6"/>
    <w:rsid w:val="00936A84"/>
    <w:rsid w:val="00936BDE"/>
    <w:rsid w:val="00936E5E"/>
    <w:rsid w:val="0093712D"/>
    <w:rsid w:val="00937340"/>
    <w:rsid w:val="0094003B"/>
    <w:rsid w:val="00940486"/>
    <w:rsid w:val="009407BC"/>
    <w:rsid w:val="00940C50"/>
    <w:rsid w:val="009429B4"/>
    <w:rsid w:val="00942F9E"/>
    <w:rsid w:val="009464E7"/>
    <w:rsid w:val="00950D92"/>
    <w:rsid w:val="00950E87"/>
    <w:rsid w:val="00951BAA"/>
    <w:rsid w:val="00951D4A"/>
    <w:rsid w:val="0095205C"/>
    <w:rsid w:val="009524BF"/>
    <w:rsid w:val="00952C07"/>
    <w:rsid w:val="009545C7"/>
    <w:rsid w:val="00954642"/>
    <w:rsid w:val="00954765"/>
    <w:rsid w:val="0095795C"/>
    <w:rsid w:val="00957D6D"/>
    <w:rsid w:val="00960920"/>
    <w:rsid w:val="009623E2"/>
    <w:rsid w:val="009636BE"/>
    <w:rsid w:val="00963743"/>
    <w:rsid w:val="00963F86"/>
    <w:rsid w:val="00964C54"/>
    <w:rsid w:val="009659B8"/>
    <w:rsid w:val="00966C29"/>
    <w:rsid w:val="00966CA0"/>
    <w:rsid w:val="00966CF6"/>
    <w:rsid w:val="00966F87"/>
    <w:rsid w:val="00967D9B"/>
    <w:rsid w:val="0097123C"/>
    <w:rsid w:val="009712D3"/>
    <w:rsid w:val="00971BD4"/>
    <w:rsid w:val="00972BB8"/>
    <w:rsid w:val="00972C10"/>
    <w:rsid w:val="0097320B"/>
    <w:rsid w:val="0097362A"/>
    <w:rsid w:val="009745FB"/>
    <w:rsid w:val="00974619"/>
    <w:rsid w:val="009748BA"/>
    <w:rsid w:val="00974B7F"/>
    <w:rsid w:val="00974D57"/>
    <w:rsid w:val="00974DE4"/>
    <w:rsid w:val="00975939"/>
    <w:rsid w:val="00976C4A"/>
    <w:rsid w:val="00980D3F"/>
    <w:rsid w:val="00980E86"/>
    <w:rsid w:val="0098113C"/>
    <w:rsid w:val="00981768"/>
    <w:rsid w:val="009817B5"/>
    <w:rsid w:val="009817EA"/>
    <w:rsid w:val="00982B29"/>
    <w:rsid w:val="00982EE8"/>
    <w:rsid w:val="00983839"/>
    <w:rsid w:val="00983C1F"/>
    <w:rsid w:val="00984A93"/>
    <w:rsid w:val="0098510A"/>
    <w:rsid w:val="0098536B"/>
    <w:rsid w:val="009864E7"/>
    <w:rsid w:val="00986ECA"/>
    <w:rsid w:val="009909AD"/>
    <w:rsid w:val="00990A10"/>
    <w:rsid w:val="00990EB2"/>
    <w:rsid w:val="00994022"/>
    <w:rsid w:val="009947FB"/>
    <w:rsid w:val="00994F9E"/>
    <w:rsid w:val="00994FC2"/>
    <w:rsid w:val="00994FE7"/>
    <w:rsid w:val="009950A0"/>
    <w:rsid w:val="00995AB1"/>
    <w:rsid w:val="00995C72"/>
    <w:rsid w:val="0099600E"/>
    <w:rsid w:val="00997C5A"/>
    <w:rsid w:val="009A0320"/>
    <w:rsid w:val="009A1424"/>
    <w:rsid w:val="009A167B"/>
    <w:rsid w:val="009A1FA2"/>
    <w:rsid w:val="009A36C8"/>
    <w:rsid w:val="009A399A"/>
    <w:rsid w:val="009A3F2D"/>
    <w:rsid w:val="009A4B1C"/>
    <w:rsid w:val="009A4D97"/>
    <w:rsid w:val="009A5103"/>
    <w:rsid w:val="009A5449"/>
    <w:rsid w:val="009A79DE"/>
    <w:rsid w:val="009A7F5D"/>
    <w:rsid w:val="009B0336"/>
    <w:rsid w:val="009B16C0"/>
    <w:rsid w:val="009B3009"/>
    <w:rsid w:val="009B31F3"/>
    <w:rsid w:val="009B39B0"/>
    <w:rsid w:val="009B5756"/>
    <w:rsid w:val="009B6367"/>
    <w:rsid w:val="009B6F9C"/>
    <w:rsid w:val="009C0399"/>
    <w:rsid w:val="009C08EF"/>
    <w:rsid w:val="009C0974"/>
    <w:rsid w:val="009C097A"/>
    <w:rsid w:val="009C0990"/>
    <w:rsid w:val="009C2328"/>
    <w:rsid w:val="009C2371"/>
    <w:rsid w:val="009C35A6"/>
    <w:rsid w:val="009C3C06"/>
    <w:rsid w:val="009C4055"/>
    <w:rsid w:val="009C47E3"/>
    <w:rsid w:val="009C5529"/>
    <w:rsid w:val="009C62BF"/>
    <w:rsid w:val="009C6BD7"/>
    <w:rsid w:val="009C7A7C"/>
    <w:rsid w:val="009D02CD"/>
    <w:rsid w:val="009D05D5"/>
    <w:rsid w:val="009D0F54"/>
    <w:rsid w:val="009D106A"/>
    <w:rsid w:val="009D14E4"/>
    <w:rsid w:val="009D3917"/>
    <w:rsid w:val="009D45FB"/>
    <w:rsid w:val="009D4C97"/>
    <w:rsid w:val="009D4D70"/>
    <w:rsid w:val="009D5F4D"/>
    <w:rsid w:val="009D6133"/>
    <w:rsid w:val="009D6B45"/>
    <w:rsid w:val="009D6DDA"/>
    <w:rsid w:val="009D727C"/>
    <w:rsid w:val="009D765D"/>
    <w:rsid w:val="009E0E76"/>
    <w:rsid w:val="009E20AD"/>
    <w:rsid w:val="009E21A6"/>
    <w:rsid w:val="009E2F8E"/>
    <w:rsid w:val="009E3649"/>
    <w:rsid w:val="009E44F0"/>
    <w:rsid w:val="009E4A41"/>
    <w:rsid w:val="009E5746"/>
    <w:rsid w:val="009E5C5F"/>
    <w:rsid w:val="009E6218"/>
    <w:rsid w:val="009E647D"/>
    <w:rsid w:val="009E65F8"/>
    <w:rsid w:val="009E6F01"/>
    <w:rsid w:val="009E703F"/>
    <w:rsid w:val="009E7084"/>
    <w:rsid w:val="009E745F"/>
    <w:rsid w:val="009E7531"/>
    <w:rsid w:val="009E7884"/>
    <w:rsid w:val="009F0824"/>
    <w:rsid w:val="009F08B0"/>
    <w:rsid w:val="009F16D9"/>
    <w:rsid w:val="009F1AEE"/>
    <w:rsid w:val="009F1D60"/>
    <w:rsid w:val="009F233E"/>
    <w:rsid w:val="009F2464"/>
    <w:rsid w:val="009F2B71"/>
    <w:rsid w:val="009F2EE3"/>
    <w:rsid w:val="009F374A"/>
    <w:rsid w:val="009F3FD3"/>
    <w:rsid w:val="009F4644"/>
    <w:rsid w:val="009F4E2B"/>
    <w:rsid w:val="009F643B"/>
    <w:rsid w:val="009F6478"/>
    <w:rsid w:val="00A01444"/>
    <w:rsid w:val="00A025F7"/>
    <w:rsid w:val="00A0262B"/>
    <w:rsid w:val="00A02731"/>
    <w:rsid w:val="00A03017"/>
    <w:rsid w:val="00A03312"/>
    <w:rsid w:val="00A0355C"/>
    <w:rsid w:val="00A03C7B"/>
    <w:rsid w:val="00A04BFE"/>
    <w:rsid w:val="00A05549"/>
    <w:rsid w:val="00A105F5"/>
    <w:rsid w:val="00A10D32"/>
    <w:rsid w:val="00A11335"/>
    <w:rsid w:val="00A1151B"/>
    <w:rsid w:val="00A11D6E"/>
    <w:rsid w:val="00A13163"/>
    <w:rsid w:val="00A13487"/>
    <w:rsid w:val="00A142AB"/>
    <w:rsid w:val="00A144DE"/>
    <w:rsid w:val="00A14547"/>
    <w:rsid w:val="00A14790"/>
    <w:rsid w:val="00A17375"/>
    <w:rsid w:val="00A17F04"/>
    <w:rsid w:val="00A17F42"/>
    <w:rsid w:val="00A21825"/>
    <w:rsid w:val="00A219DF"/>
    <w:rsid w:val="00A21B2A"/>
    <w:rsid w:val="00A21FD9"/>
    <w:rsid w:val="00A230CC"/>
    <w:rsid w:val="00A236BA"/>
    <w:rsid w:val="00A23DE8"/>
    <w:rsid w:val="00A2453B"/>
    <w:rsid w:val="00A25339"/>
    <w:rsid w:val="00A25F29"/>
    <w:rsid w:val="00A27207"/>
    <w:rsid w:val="00A273E0"/>
    <w:rsid w:val="00A27905"/>
    <w:rsid w:val="00A27B41"/>
    <w:rsid w:val="00A27D1A"/>
    <w:rsid w:val="00A310E8"/>
    <w:rsid w:val="00A3166A"/>
    <w:rsid w:val="00A32A72"/>
    <w:rsid w:val="00A359E0"/>
    <w:rsid w:val="00A3676B"/>
    <w:rsid w:val="00A36BE1"/>
    <w:rsid w:val="00A4008E"/>
    <w:rsid w:val="00A40646"/>
    <w:rsid w:val="00A40E85"/>
    <w:rsid w:val="00A41130"/>
    <w:rsid w:val="00A41241"/>
    <w:rsid w:val="00A42D95"/>
    <w:rsid w:val="00A42F82"/>
    <w:rsid w:val="00A43280"/>
    <w:rsid w:val="00A43C8E"/>
    <w:rsid w:val="00A4636B"/>
    <w:rsid w:val="00A4701C"/>
    <w:rsid w:val="00A47F77"/>
    <w:rsid w:val="00A47FC3"/>
    <w:rsid w:val="00A50170"/>
    <w:rsid w:val="00A51280"/>
    <w:rsid w:val="00A512AD"/>
    <w:rsid w:val="00A5207E"/>
    <w:rsid w:val="00A5436B"/>
    <w:rsid w:val="00A5486D"/>
    <w:rsid w:val="00A55A1E"/>
    <w:rsid w:val="00A602D1"/>
    <w:rsid w:val="00A60784"/>
    <w:rsid w:val="00A61594"/>
    <w:rsid w:val="00A61B32"/>
    <w:rsid w:val="00A6211E"/>
    <w:rsid w:val="00A6280F"/>
    <w:rsid w:val="00A63640"/>
    <w:rsid w:val="00A63C6A"/>
    <w:rsid w:val="00A64423"/>
    <w:rsid w:val="00A64C53"/>
    <w:rsid w:val="00A6518C"/>
    <w:rsid w:val="00A6542B"/>
    <w:rsid w:val="00A66C71"/>
    <w:rsid w:val="00A70087"/>
    <w:rsid w:val="00A70740"/>
    <w:rsid w:val="00A7117A"/>
    <w:rsid w:val="00A71FCF"/>
    <w:rsid w:val="00A731B7"/>
    <w:rsid w:val="00A73D0D"/>
    <w:rsid w:val="00A7521D"/>
    <w:rsid w:val="00A75AC7"/>
    <w:rsid w:val="00A77CCD"/>
    <w:rsid w:val="00A80A45"/>
    <w:rsid w:val="00A80B6A"/>
    <w:rsid w:val="00A80F4B"/>
    <w:rsid w:val="00A82C46"/>
    <w:rsid w:val="00A83340"/>
    <w:rsid w:val="00A8346C"/>
    <w:rsid w:val="00A8475F"/>
    <w:rsid w:val="00A84F08"/>
    <w:rsid w:val="00A85016"/>
    <w:rsid w:val="00A85248"/>
    <w:rsid w:val="00A865FE"/>
    <w:rsid w:val="00A8704C"/>
    <w:rsid w:val="00A87681"/>
    <w:rsid w:val="00A87CCE"/>
    <w:rsid w:val="00A90713"/>
    <w:rsid w:val="00A90A98"/>
    <w:rsid w:val="00A90BF4"/>
    <w:rsid w:val="00A91E9B"/>
    <w:rsid w:val="00A922FA"/>
    <w:rsid w:val="00A92C03"/>
    <w:rsid w:val="00A94793"/>
    <w:rsid w:val="00A972A0"/>
    <w:rsid w:val="00A974B2"/>
    <w:rsid w:val="00A976BA"/>
    <w:rsid w:val="00A97C03"/>
    <w:rsid w:val="00AA0287"/>
    <w:rsid w:val="00AA0FEC"/>
    <w:rsid w:val="00AA1B7C"/>
    <w:rsid w:val="00AA2B4F"/>
    <w:rsid w:val="00AA3198"/>
    <w:rsid w:val="00AA3536"/>
    <w:rsid w:val="00AA39FB"/>
    <w:rsid w:val="00AA3BF8"/>
    <w:rsid w:val="00AA3DB2"/>
    <w:rsid w:val="00AA46CC"/>
    <w:rsid w:val="00AA4B17"/>
    <w:rsid w:val="00AA5390"/>
    <w:rsid w:val="00AA7604"/>
    <w:rsid w:val="00AA782C"/>
    <w:rsid w:val="00AA7F8E"/>
    <w:rsid w:val="00AB0BD0"/>
    <w:rsid w:val="00AB15C8"/>
    <w:rsid w:val="00AB30D0"/>
    <w:rsid w:val="00AB32BB"/>
    <w:rsid w:val="00AB3CF0"/>
    <w:rsid w:val="00AB5095"/>
    <w:rsid w:val="00AB529D"/>
    <w:rsid w:val="00AB57B4"/>
    <w:rsid w:val="00AB597A"/>
    <w:rsid w:val="00AB6D33"/>
    <w:rsid w:val="00AB77A6"/>
    <w:rsid w:val="00AB7D96"/>
    <w:rsid w:val="00AC0048"/>
    <w:rsid w:val="00AC022B"/>
    <w:rsid w:val="00AC0872"/>
    <w:rsid w:val="00AC133B"/>
    <w:rsid w:val="00AC1A1A"/>
    <w:rsid w:val="00AC1C5E"/>
    <w:rsid w:val="00AC24FA"/>
    <w:rsid w:val="00AC2AD6"/>
    <w:rsid w:val="00AC3949"/>
    <w:rsid w:val="00AC431B"/>
    <w:rsid w:val="00AC4C20"/>
    <w:rsid w:val="00AC54D6"/>
    <w:rsid w:val="00AC55FF"/>
    <w:rsid w:val="00AC565C"/>
    <w:rsid w:val="00AC6AC5"/>
    <w:rsid w:val="00AC72D5"/>
    <w:rsid w:val="00AC7615"/>
    <w:rsid w:val="00AC7E9B"/>
    <w:rsid w:val="00AD0843"/>
    <w:rsid w:val="00AD1904"/>
    <w:rsid w:val="00AD238F"/>
    <w:rsid w:val="00AD270C"/>
    <w:rsid w:val="00AD2BE5"/>
    <w:rsid w:val="00AD2C80"/>
    <w:rsid w:val="00AD3444"/>
    <w:rsid w:val="00AD3A1F"/>
    <w:rsid w:val="00AD3C4C"/>
    <w:rsid w:val="00AD5485"/>
    <w:rsid w:val="00AD5594"/>
    <w:rsid w:val="00AE1C07"/>
    <w:rsid w:val="00AE3215"/>
    <w:rsid w:val="00AE356F"/>
    <w:rsid w:val="00AE4629"/>
    <w:rsid w:val="00AE4AA4"/>
    <w:rsid w:val="00AE5972"/>
    <w:rsid w:val="00AE6360"/>
    <w:rsid w:val="00AE685C"/>
    <w:rsid w:val="00AE7519"/>
    <w:rsid w:val="00AF01B3"/>
    <w:rsid w:val="00AF12A0"/>
    <w:rsid w:val="00AF3694"/>
    <w:rsid w:val="00AF3786"/>
    <w:rsid w:val="00AF39D4"/>
    <w:rsid w:val="00AF4909"/>
    <w:rsid w:val="00AF59F5"/>
    <w:rsid w:val="00AF5AC3"/>
    <w:rsid w:val="00AF5DBF"/>
    <w:rsid w:val="00AF61E5"/>
    <w:rsid w:val="00AF7DCA"/>
    <w:rsid w:val="00B00670"/>
    <w:rsid w:val="00B009F9"/>
    <w:rsid w:val="00B00DDA"/>
    <w:rsid w:val="00B00E84"/>
    <w:rsid w:val="00B014F9"/>
    <w:rsid w:val="00B0306D"/>
    <w:rsid w:val="00B0372E"/>
    <w:rsid w:val="00B03A96"/>
    <w:rsid w:val="00B04B7C"/>
    <w:rsid w:val="00B04D05"/>
    <w:rsid w:val="00B05180"/>
    <w:rsid w:val="00B0695B"/>
    <w:rsid w:val="00B06B42"/>
    <w:rsid w:val="00B0773E"/>
    <w:rsid w:val="00B07D52"/>
    <w:rsid w:val="00B111CE"/>
    <w:rsid w:val="00B12A1E"/>
    <w:rsid w:val="00B138D3"/>
    <w:rsid w:val="00B15AD7"/>
    <w:rsid w:val="00B1737E"/>
    <w:rsid w:val="00B21290"/>
    <w:rsid w:val="00B22653"/>
    <w:rsid w:val="00B23AB7"/>
    <w:rsid w:val="00B2416A"/>
    <w:rsid w:val="00B2457A"/>
    <w:rsid w:val="00B2668B"/>
    <w:rsid w:val="00B26C38"/>
    <w:rsid w:val="00B301B3"/>
    <w:rsid w:val="00B315DA"/>
    <w:rsid w:val="00B32184"/>
    <w:rsid w:val="00B324AB"/>
    <w:rsid w:val="00B32A6E"/>
    <w:rsid w:val="00B32E28"/>
    <w:rsid w:val="00B34CB7"/>
    <w:rsid w:val="00B36D27"/>
    <w:rsid w:val="00B37285"/>
    <w:rsid w:val="00B37B05"/>
    <w:rsid w:val="00B37EE5"/>
    <w:rsid w:val="00B40AC1"/>
    <w:rsid w:val="00B427AC"/>
    <w:rsid w:val="00B43254"/>
    <w:rsid w:val="00B4353C"/>
    <w:rsid w:val="00B442C5"/>
    <w:rsid w:val="00B44AAC"/>
    <w:rsid w:val="00B45D0F"/>
    <w:rsid w:val="00B46E01"/>
    <w:rsid w:val="00B514CD"/>
    <w:rsid w:val="00B51947"/>
    <w:rsid w:val="00B52072"/>
    <w:rsid w:val="00B52199"/>
    <w:rsid w:val="00B53386"/>
    <w:rsid w:val="00B557F2"/>
    <w:rsid w:val="00B55C64"/>
    <w:rsid w:val="00B56260"/>
    <w:rsid w:val="00B57128"/>
    <w:rsid w:val="00B57148"/>
    <w:rsid w:val="00B57C0B"/>
    <w:rsid w:val="00B605F4"/>
    <w:rsid w:val="00B60B47"/>
    <w:rsid w:val="00B60DBE"/>
    <w:rsid w:val="00B61124"/>
    <w:rsid w:val="00B6182C"/>
    <w:rsid w:val="00B61831"/>
    <w:rsid w:val="00B62261"/>
    <w:rsid w:val="00B628A5"/>
    <w:rsid w:val="00B631C9"/>
    <w:rsid w:val="00B6426B"/>
    <w:rsid w:val="00B64CC7"/>
    <w:rsid w:val="00B654EF"/>
    <w:rsid w:val="00B663D8"/>
    <w:rsid w:val="00B67D68"/>
    <w:rsid w:val="00B70A31"/>
    <w:rsid w:val="00B711F9"/>
    <w:rsid w:val="00B71283"/>
    <w:rsid w:val="00B7158C"/>
    <w:rsid w:val="00B71B10"/>
    <w:rsid w:val="00B74228"/>
    <w:rsid w:val="00B74B60"/>
    <w:rsid w:val="00B75426"/>
    <w:rsid w:val="00B755DC"/>
    <w:rsid w:val="00B75714"/>
    <w:rsid w:val="00B75A13"/>
    <w:rsid w:val="00B77774"/>
    <w:rsid w:val="00B802D1"/>
    <w:rsid w:val="00B813E4"/>
    <w:rsid w:val="00B8153B"/>
    <w:rsid w:val="00B82336"/>
    <w:rsid w:val="00B82594"/>
    <w:rsid w:val="00B83416"/>
    <w:rsid w:val="00B8360D"/>
    <w:rsid w:val="00B83650"/>
    <w:rsid w:val="00B8406C"/>
    <w:rsid w:val="00B86161"/>
    <w:rsid w:val="00B8646C"/>
    <w:rsid w:val="00B872FB"/>
    <w:rsid w:val="00B87E8F"/>
    <w:rsid w:val="00B901E6"/>
    <w:rsid w:val="00B92D6B"/>
    <w:rsid w:val="00B945F8"/>
    <w:rsid w:val="00B96BF9"/>
    <w:rsid w:val="00B97199"/>
    <w:rsid w:val="00B97D21"/>
    <w:rsid w:val="00BA021F"/>
    <w:rsid w:val="00BA0772"/>
    <w:rsid w:val="00BA0BFC"/>
    <w:rsid w:val="00BA0F27"/>
    <w:rsid w:val="00BA2596"/>
    <w:rsid w:val="00BA39CB"/>
    <w:rsid w:val="00BA3A6E"/>
    <w:rsid w:val="00BA4E27"/>
    <w:rsid w:val="00BA5285"/>
    <w:rsid w:val="00BA6546"/>
    <w:rsid w:val="00BA68E5"/>
    <w:rsid w:val="00BA6CC9"/>
    <w:rsid w:val="00BA7D5C"/>
    <w:rsid w:val="00BB06B1"/>
    <w:rsid w:val="00BB1403"/>
    <w:rsid w:val="00BB1511"/>
    <w:rsid w:val="00BB19FE"/>
    <w:rsid w:val="00BB2944"/>
    <w:rsid w:val="00BB39E1"/>
    <w:rsid w:val="00BB3D98"/>
    <w:rsid w:val="00BB40AD"/>
    <w:rsid w:val="00BB4358"/>
    <w:rsid w:val="00BB4D18"/>
    <w:rsid w:val="00BB6B73"/>
    <w:rsid w:val="00BB74F1"/>
    <w:rsid w:val="00BB77AC"/>
    <w:rsid w:val="00BB7A7A"/>
    <w:rsid w:val="00BB7D7D"/>
    <w:rsid w:val="00BB7F20"/>
    <w:rsid w:val="00BC0406"/>
    <w:rsid w:val="00BC04AA"/>
    <w:rsid w:val="00BC0C75"/>
    <w:rsid w:val="00BC0F41"/>
    <w:rsid w:val="00BC201E"/>
    <w:rsid w:val="00BC3208"/>
    <w:rsid w:val="00BC3333"/>
    <w:rsid w:val="00BC3E50"/>
    <w:rsid w:val="00BC3F07"/>
    <w:rsid w:val="00BC4416"/>
    <w:rsid w:val="00BC5466"/>
    <w:rsid w:val="00BC5B83"/>
    <w:rsid w:val="00BC66F6"/>
    <w:rsid w:val="00BC69CA"/>
    <w:rsid w:val="00BC75EB"/>
    <w:rsid w:val="00BC765C"/>
    <w:rsid w:val="00BC7959"/>
    <w:rsid w:val="00BC7F76"/>
    <w:rsid w:val="00BD076D"/>
    <w:rsid w:val="00BD08C4"/>
    <w:rsid w:val="00BD099D"/>
    <w:rsid w:val="00BD09D6"/>
    <w:rsid w:val="00BD13E5"/>
    <w:rsid w:val="00BD1CAA"/>
    <w:rsid w:val="00BD2D3E"/>
    <w:rsid w:val="00BD3DCA"/>
    <w:rsid w:val="00BD3FC1"/>
    <w:rsid w:val="00BD4BB9"/>
    <w:rsid w:val="00BD4E7F"/>
    <w:rsid w:val="00BD50DB"/>
    <w:rsid w:val="00BD5998"/>
    <w:rsid w:val="00BD5BD4"/>
    <w:rsid w:val="00BD6E3A"/>
    <w:rsid w:val="00BD6F0A"/>
    <w:rsid w:val="00BE0C88"/>
    <w:rsid w:val="00BE13B6"/>
    <w:rsid w:val="00BE1A79"/>
    <w:rsid w:val="00BE1E89"/>
    <w:rsid w:val="00BE1E9C"/>
    <w:rsid w:val="00BE2BD1"/>
    <w:rsid w:val="00BE36A1"/>
    <w:rsid w:val="00BE3D61"/>
    <w:rsid w:val="00BE5A9D"/>
    <w:rsid w:val="00BE667F"/>
    <w:rsid w:val="00BE7AF1"/>
    <w:rsid w:val="00BF086B"/>
    <w:rsid w:val="00BF120D"/>
    <w:rsid w:val="00BF1606"/>
    <w:rsid w:val="00BF26B3"/>
    <w:rsid w:val="00BF2764"/>
    <w:rsid w:val="00BF2B55"/>
    <w:rsid w:val="00BF393C"/>
    <w:rsid w:val="00BF3B1A"/>
    <w:rsid w:val="00BF3BA6"/>
    <w:rsid w:val="00BF4C58"/>
    <w:rsid w:val="00BF7429"/>
    <w:rsid w:val="00C00368"/>
    <w:rsid w:val="00C00F0B"/>
    <w:rsid w:val="00C0139E"/>
    <w:rsid w:val="00C014BF"/>
    <w:rsid w:val="00C01EC5"/>
    <w:rsid w:val="00C02058"/>
    <w:rsid w:val="00C023FA"/>
    <w:rsid w:val="00C028F1"/>
    <w:rsid w:val="00C02D64"/>
    <w:rsid w:val="00C048A9"/>
    <w:rsid w:val="00C05ED8"/>
    <w:rsid w:val="00C0677D"/>
    <w:rsid w:val="00C07B2D"/>
    <w:rsid w:val="00C10551"/>
    <w:rsid w:val="00C10869"/>
    <w:rsid w:val="00C10C5C"/>
    <w:rsid w:val="00C10F90"/>
    <w:rsid w:val="00C13996"/>
    <w:rsid w:val="00C150E1"/>
    <w:rsid w:val="00C15D35"/>
    <w:rsid w:val="00C16168"/>
    <w:rsid w:val="00C165CF"/>
    <w:rsid w:val="00C174C6"/>
    <w:rsid w:val="00C1786F"/>
    <w:rsid w:val="00C17D9C"/>
    <w:rsid w:val="00C20426"/>
    <w:rsid w:val="00C210C0"/>
    <w:rsid w:val="00C21205"/>
    <w:rsid w:val="00C22003"/>
    <w:rsid w:val="00C22D88"/>
    <w:rsid w:val="00C23816"/>
    <w:rsid w:val="00C2416B"/>
    <w:rsid w:val="00C25415"/>
    <w:rsid w:val="00C25755"/>
    <w:rsid w:val="00C25B1A"/>
    <w:rsid w:val="00C26A73"/>
    <w:rsid w:val="00C26E4C"/>
    <w:rsid w:val="00C27210"/>
    <w:rsid w:val="00C31344"/>
    <w:rsid w:val="00C31472"/>
    <w:rsid w:val="00C32E3F"/>
    <w:rsid w:val="00C352F3"/>
    <w:rsid w:val="00C3629D"/>
    <w:rsid w:val="00C3651C"/>
    <w:rsid w:val="00C36BDE"/>
    <w:rsid w:val="00C36C65"/>
    <w:rsid w:val="00C374B7"/>
    <w:rsid w:val="00C378BB"/>
    <w:rsid w:val="00C40CED"/>
    <w:rsid w:val="00C41A8F"/>
    <w:rsid w:val="00C42F79"/>
    <w:rsid w:val="00C4319D"/>
    <w:rsid w:val="00C43227"/>
    <w:rsid w:val="00C4412C"/>
    <w:rsid w:val="00C444E8"/>
    <w:rsid w:val="00C4526A"/>
    <w:rsid w:val="00C47711"/>
    <w:rsid w:val="00C5011A"/>
    <w:rsid w:val="00C5049D"/>
    <w:rsid w:val="00C50A66"/>
    <w:rsid w:val="00C50EA0"/>
    <w:rsid w:val="00C51566"/>
    <w:rsid w:val="00C51711"/>
    <w:rsid w:val="00C51E18"/>
    <w:rsid w:val="00C52683"/>
    <w:rsid w:val="00C52790"/>
    <w:rsid w:val="00C52CCC"/>
    <w:rsid w:val="00C52E77"/>
    <w:rsid w:val="00C53353"/>
    <w:rsid w:val="00C54351"/>
    <w:rsid w:val="00C54DC4"/>
    <w:rsid w:val="00C54F2E"/>
    <w:rsid w:val="00C5659E"/>
    <w:rsid w:val="00C56D92"/>
    <w:rsid w:val="00C57739"/>
    <w:rsid w:val="00C5775D"/>
    <w:rsid w:val="00C57D7E"/>
    <w:rsid w:val="00C60045"/>
    <w:rsid w:val="00C61608"/>
    <w:rsid w:val="00C616F9"/>
    <w:rsid w:val="00C6279B"/>
    <w:rsid w:val="00C627D2"/>
    <w:rsid w:val="00C631F3"/>
    <w:rsid w:val="00C63857"/>
    <w:rsid w:val="00C644D9"/>
    <w:rsid w:val="00C64503"/>
    <w:rsid w:val="00C64B8C"/>
    <w:rsid w:val="00C64C39"/>
    <w:rsid w:val="00C65074"/>
    <w:rsid w:val="00C65196"/>
    <w:rsid w:val="00C661A5"/>
    <w:rsid w:val="00C67B93"/>
    <w:rsid w:val="00C67C5F"/>
    <w:rsid w:val="00C7080E"/>
    <w:rsid w:val="00C7227F"/>
    <w:rsid w:val="00C72FAC"/>
    <w:rsid w:val="00C73620"/>
    <w:rsid w:val="00C73745"/>
    <w:rsid w:val="00C73D9D"/>
    <w:rsid w:val="00C74602"/>
    <w:rsid w:val="00C74611"/>
    <w:rsid w:val="00C74D19"/>
    <w:rsid w:val="00C74D78"/>
    <w:rsid w:val="00C759F3"/>
    <w:rsid w:val="00C773B8"/>
    <w:rsid w:val="00C77E06"/>
    <w:rsid w:val="00C80A15"/>
    <w:rsid w:val="00C810AB"/>
    <w:rsid w:val="00C81296"/>
    <w:rsid w:val="00C81398"/>
    <w:rsid w:val="00C818C4"/>
    <w:rsid w:val="00C81D64"/>
    <w:rsid w:val="00C827E5"/>
    <w:rsid w:val="00C8348A"/>
    <w:rsid w:val="00C836C9"/>
    <w:rsid w:val="00C83923"/>
    <w:rsid w:val="00C85112"/>
    <w:rsid w:val="00C85325"/>
    <w:rsid w:val="00C8554C"/>
    <w:rsid w:val="00C8596A"/>
    <w:rsid w:val="00C85F40"/>
    <w:rsid w:val="00C86846"/>
    <w:rsid w:val="00C86CE1"/>
    <w:rsid w:val="00C871CD"/>
    <w:rsid w:val="00C87C57"/>
    <w:rsid w:val="00C9006D"/>
    <w:rsid w:val="00C92141"/>
    <w:rsid w:val="00C92B66"/>
    <w:rsid w:val="00C93189"/>
    <w:rsid w:val="00C94BFF"/>
    <w:rsid w:val="00C95383"/>
    <w:rsid w:val="00C95AC8"/>
    <w:rsid w:val="00C95ADE"/>
    <w:rsid w:val="00C95F9B"/>
    <w:rsid w:val="00C97652"/>
    <w:rsid w:val="00CA03BB"/>
    <w:rsid w:val="00CA11AA"/>
    <w:rsid w:val="00CA1A28"/>
    <w:rsid w:val="00CA24F3"/>
    <w:rsid w:val="00CA2C06"/>
    <w:rsid w:val="00CA436F"/>
    <w:rsid w:val="00CA43C6"/>
    <w:rsid w:val="00CA46A3"/>
    <w:rsid w:val="00CA4D99"/>
    <w:rsid w:val="00CA4E41"/>
    <w:rsid w:val="00CA5179"/>
    <w:rsid w:val="00CA5830"/>
    <w:rsid w:val="00CA64AD"/>
    <w:rsid w:val="00CA7319"/>
    <w:rsid w:val="00CA77B6"/>
    <w:rsid w:val="00CB0392"/>
    <w:rsid w:val="00CB1573"/>
    <w:rsid w:val="00CB1A8C"/>
    <w:rsid w:val="00CB2CD0"/>
    <w:rsid w:val="00CB2F5A"/>
    <w:rsid w:val="00CB3B53"/>
    <w:rsid w:val="00CB4F47"/>
    <w:rsid w:val="00CB58B7"/>
    <w:rsid w:val="00CB5D31"/>
    <w:rsid w:val="00CB612D"/>
    <w:rsid w:val="00CB653A"/>
    <w:rsid w:val="00CB6E6E"/>
    <w:rsid w:val="00CB70C4"/>
    <w:rsid w:val="00CB7F6F"/>
    <w:rsid w:val="00CC0A3F"/>
    <w:rsid w:val="00CC0C2C"/>
    <w:rsid w:val="00CC0EA5"/>
    <w:rsid w:val="00CC1B40"/>
    <w:rsid w:val="00CC22AE"/>
    <w:rsid w:val="00CC35AF"/>
    <w:rsid w:val="00CC39DC"/>
    <w:rsid w:val="00CC410E"/>
    <w:rsid w:val="00CC4EFF"/>
    <w:rsid w:val="00CC5853"/>
    <w:rsid w:val="00CC5F4E"/>
    <w:rsid w:val="00CC6B2B"/>
    <w:rsid w:val="00CC6B91"/>
    <w:rsid w:val="00CD0E3B"/>
    <w:rsid w:val="00CD29ED"/>
    <w:rsid w:val="00CD2CDB"/>
    <w:rsid w:val="00CD33D6"/>
    <w:rsid w:val="00CD41BB"/>
    <w:rsid w:val="00CD4678"/>
    <w:rsid w:val="00CD4969"/>
    <w:rsid w:val="00CD50D6"/>
    <w:rsid w:val="00CD525A"/>
    <w:rsid w:val="00CD5DEA"/>
    <w:rsid w:val="00CD6673"/>
    <w:rsid w:val="00CD6A5C"/>
    <w:rsid w:val="00CD6AC1"/>
    <w:rsid w:val="00CD6CBE"/>
    <w:rsid w:val="00CD7F0F"/>
    <w:rsid w:val="00CE095E"/>
    <w:rsid w:val="00CE0F97"/>
    <w:rsid w:val="00CE2E39"/>
    <w:rsid w:val="00CE4332"/>
    <w:rsid w:val="00CE4EFC"/>
    <w:rsid w:val="00CE5235"/>
    <w:rsid w:val="00CE57D9"/>
    <w:rsid w:val="00CE742F"/>
    <w:rsid w:val="00CF1D78"/>
    <w:rsid w:val="00CF2396"/>
    <w:rsid w:val="00CF3045"/>
    <w:rsid w:val="00CF37FE"/>
    <w:rsid w:val="00CF3C0B"/>
    <w:rsid w:val="00CF4539"/>
    <w:rsid w:val="00CF48EA"/>
    <w:rsid w:val="00CF4EB9"/>
    <w:rsid w:val="00CF61A4"/>
    <w:rsid w:val="00CF6B0F"/>
    <w:rsid w:val="00D000B2"/>
    <w:rsid w:val="00D001B1"/>
    <w:rsid w:val="00D001FB"/>
    <w:rsid w:val="00D01DDF"/>
    <w:rsid w:val="00D02CE8"/>
    <w:rsid w:val="00D02F31"/>
    <w:rsid w:val="00D030F3"/>
    <w:rsid w:val="00D035C2"/>
    <w:rsid w:val="00D04A4D"/>
    <w:rsid w:val="00D05E29"/>
    <w:rsid w:val="00D0722C"/>
    <w:rsid w:val="00D0747D"/>
    <w:rsid w:val="00D0772D"/>
    <w:rsid w:val="00D077CA"/>
    <w:rsid w:val="00D109AB"/>
    <w:rsid w:val="00D112F8"/>
    <w:rsid w:val="00D11D21"/>
    <w:rsid w:val="00D11E8C"/>
    <w:rsid w:val="00D11F3E"/>
    <w:rsid w:val="00D12222"/>
    <w:rsid w:val="00D125C6"/>
    <w:rsid w:val="00D126C2"/>
    <w:rsid w:val="00D12C58"/>
    <w:rsid w:val="00D144CB"/>
    <w:rsid w:val="00D14816"/>
    <w:rsid w:val="00D1495D"/>
    <w:rsid w:val="00D1677F"/>
    <w:rsid w:val="00D16FC5"/>
    <w:rsid w:val="00D170C2"/>
    <w:rsid w:val="00D178DF"/>
    <w:rsid w:val="00D20861"/>
    <w:rsid w:val="00D20E6B"/>
    <w:rsid w:val="00D2122C"/>
    <w:rsid w:val="00D21481"/>
    <w:rsid w:val="00D219E9"/>
    <w:rsid w:val="00D22305"/>
    <w:rsid w:val="00D223FE"/>
    <w:rsid w:val="00D2292C"/>
    <w:rsid w:val="00D25F63"/>
    <w:rsid w:val="00D27328"/>
    <w:rsid w:val="00D30797"/>
    <w:rsid w:val="00D314AD"/>
    <w:rsid w:val="00D32110"/>
    <w:rsid w:val="00D32492"/>
    <w:rsid w:val="00D32506"/>
    <w:rsid w:val="00D340D3"/>
    <w:rsid w:val="00D34CE6"/>
    <w:rsid w:val="00D34FAE"/>
    <w:rsid w:val="00D34FDB"/>
    <w:rsid w:val="00D35859"/>
    <w:rsid w:val="00D35F1C"/>
    <w:rsid w:val="00D3717A"/>
    <w:rsid w:val="00D37A37"/>
    <w:rsid w:val="00D37BFD"/>
    <w:rsid w:val="00D40620"/>
    <w:rsid w:val="00D41C85"/>
    <w:rsid w:val="00D41CDB"/>
    <w:rsid w:val="00D42814"/>
    <w:rsid w:val="00D42FD0"/>
    <w:rsid w:val="00D431D4"/>
    <w:rsid w:val="00D43446"/>
    <w:rsid w:val="00D443ED"/>
    <w:rsid w:val="00D444F2"/>
    <w:rsid w:val="00D44935"/>
    <w:rsid w:val="00D45E2D"/>
    <w:rsid w:val="00D4762A"/>
    <w:rsid w:val="00D4782E"/>
    <w:rsid w:val="00D513DB"/>
    <w:rsid w:val="00D52095"/>
    <w:rsid w:val="00D530C0"/>
    <w:rsid w:val="00D530D3"/>
    <w:rsid w:val="00D53BFB"/>
    <w:rsid w:val="00D5473C"/>
    <w:rsid w:val="00D54E52"/>
    <w:rsid w:val="00D55375"/>
    <w:rsid w:val="00D558CD"/>
    <w:rsid w:val="00D55985"/>
    <w:rsid w:val="00D55B80"/>
    <w:rsid w:val="00D5726D"/>
    <w:rsid w:val="00D5760D"/>
    <w:rsid w:val="00D57AC3"/>
    <w:rsid w:val="00D609CC"/>
    <w:rsid w:val="00D60A77"/>
    <w:rsid w:val="00D60A99"/>
    <w:rsid w:val="00D61FF7"/>
    <w:rsid w:val="00D62506"/>
    <w:rsid w:val="00D63520"/>
    <w:rsid w:val="00D63A8D"/>
    <w:rsid w:val="00D64192"/>
    <w:rsid w:val="00D64694"/>
    <w:rsid w:val="00D6487D"/>
    <w:rsid w:val="00D64982"/>
    <w:rsid w:val="00D64BF7"/>
    <w:rsid w:val="00D64DEE"/>
    <w:rsid w:val="00D65BB6"/>
    <w:rsid w:val="00D65FC4"/>
    <w:rsid w:val="00D67FF3"/>
    <w:rsid w:val="00D70326"/>
    <w:rsid w:val="00D70716"/>
    <w:rsid w:val="00D71500"/>
    <w:rsid w:val="00D717BD"/>
    <w:rsid w:val="00D72156"/>
    <w:rsid w:val="00D72442"/>
    <w:rsid w:val="00D728C4"/>
    <w:rsid w:val="00D73526"/>
    <w:rsid w:val="00D73A4D"/>
    <w:rsid w:val="00D74294"/>
    <w:rsid w:val="00D74F49"/>
    <w:rsid w:val="00D7583A"/>
    <w:rsid w:val="00D769FC"/>
    <w:rsid w:val="00D77B34"/>
    <w:rsid w:val="00D80425"/>
    <w:rsid w:val="00D80D3D"/>
    <w:rsid w:val="00D8128D"/>
    <w:rsid w:val="00D8154D"/>
    <w:rsid w:val="00D81E2D"/>
    <w:rsid w:val="00D8281F"/>
    <w:rsid w:val="00D8298E"/>
    <w:rsid w:val="00D834E6"/>
    <w:rsid w:val="00D83571"/>
    <w:rsid w:val="00D83741"/>
    <w:rsid w:val="00D8497B"/>
    <w:rsid w:val="00D85FE4"/>
    <w:rsid w:val="00D8689B"/>
    <w:rsid w:val="00D86AC5"/>
    <w:rsid w:val="00D86B11"/>
    <w:rsid w:val="00D875EA"/>
    <w:rsid w:val="00D90D7F"/>
    <w:rsid w:val="00D910FA"/>
    <w:rsid w:val="00D91446"/>
    <w:rsid w:val="00D919B8"/>
    <w:rsid w:val="00D91BB1"/>
    <w:rsid w:val="00D922D7"/>
    <w:rsid w:val="00D92620"/>
    <w:rsid w:val="00D9268D"/>
    <w:rsid w:val="00D9299E"/>
    <w:rsid w:val="00D93245"/>
    <w:rsid w:val="00D93A2D"/>
    <w:rsid w:val="00D940CE"/>
    <w:rsid w:val="00D9508D"/>
    <w:rsid w:val="00D95646"/>
    <w:rsid w:val="00D967B9"/>
    <w:rsid w:val="00D96983"/>
    <w:rsid w:val="00D97454"/>
    <w:rsid w:val="00DA017A"/>
    <w:rsid w:val="00DA12AB"/>
    <w:rsid w:val="00DA257E"/>
    <w:rsid w:val="00DA2AA3"/>
    <w:rsid w:val="00DA3179"/>
    <w:rsid w:val="00DA579E"/>
    <w:rsid w:val="00DA5B50"/>
    <w:rsid w:val="00DA5D78"/>
    <w:rsid w:val="00DA6454"/>
    <w:rsid w:val="00DA6706"/>
    <w:rsid w:val="00DA778F"/>
    <w:rsid w:val="00DA7DE6"/>
    <w:rsid w:val="00DB0079"/>
    <w:rsid w:val="00DB0DC2"/>
    <w:rsid w:val="00DB1644"/>
    <w:rsid w:val="00DB179A"/>
    <w:rsid w:val="00DB1AF5"/>
    <w:rsid w:val="00DB1FE3"/>
    <w:rsid w:val="00DB2028"/>
    <w:rsid w:val="00DB29B4"/>
    <w:rsid w:val="00DB2A13"/>
    <w:rsid w:val="00DB470A"/>
    <w:rsid w:val="00DB57A4"/>
    <w:rsid w:val="00DB60A9"/>
    <w:rsid w:val="00DB6AAF"/>
    <w:rsid w:val="00DB6AFF"/>
    <w:rsid w:val="00DB6E22"/>
    <w:rsid w:val="00DB7A4F"/>
    <w:rsid w:val="00DC007B"/>
    <w:rsid w:val="00DC1325"/>
    <w:rsid w:val="00DC19C7"/>
    <w:rsid w:val="00DC1D11"/>
    <w:rsid w:val="00DC3792"/>
    <w:rsid w:val="00DC41CE"/>
    <w:rsid w:val="00DC43E9"/>
    <w:rsid w:val="00DC4439"/>
    <w:rsid w:val="00DC4B0E"/>
    <w:rsid w:val="00DC4E20"/>
    <w:rsid w:val="00DC5AF3"/>
    <w:rsid w:val="00DC5EAF"/>
    <w:rsid w:val="00DC6B25"/>
    <w:rsid w:val="00DC6F20"/>
    <w:rsid w:val="00DD1806"/>
    <w:rsid w:val="00DD2D0B"/>
    <w:rsid w:val="00DD2E1A"/>
    <w:rsid w:val="00DD32AE"/>
    <w:rsid w:val="00DD3486"/>
    <w:rsid w:val="00DD5041"/>
    <w:rsid w:val="00DD542D"/>
    <w:rsid w:val="00DD688A"/>
    <w:rsid w:val="00DD6943"/>
    <w:rsid w:val="00DD722F"/>
    <w:rsid w:val="00DD7491"/>
    <w:rsid w:val="00DD7B95"/>
    <w:rsid w:val="00DE0421"/>
    <w:rsid w:val="00DE079A"/>
    <w:rsid w:val="00DE090F"/>
    <w:rsid w:val="00DE1EEB"/>
    <w:rsid w:val="00DE1F60"/>
    <w:rsid w:val="00DE1FE2"/>
    <w:rsid w:val="00DE2551"/>
    <w:rsid w:val="00DE297F"/>
    <w:rsid w:val="00DE2EF6"/>
    <w:rsid w:val="00DE4FD9"/>
    <w:rsid w:val="00DE58F0"/>
    <w:rsid w:val="00DE5DD0"/>
    <w:rsid w:val="00DE5EE3"/>
    <w:rsid w:val="00DE6055"/>
    <w:rsid w:val="00DF0FA4"/>
    <w:rsid w:val="00DF130D"/>
    <w:rsid w:val="00DF3675"/>
    <w:rsid w:val="00DF41DD"/>
    <w:rsid w:val="00DF52F8"/>
    <w:rsid w:val="00DF54F4"/>
    <w:rsid w:val="00DF5FA1"/>
    <w:rsid w:val="00DF641C"/>
    <w:rsid w:val="00DF66F7"/>
    <w:rsid w:val="00DF6CFB"/>
    <w:rsid w:val="00DF74BA"/>
    <w:rsid w:val="00E00008"/>
    <w:rsid w:val="00E00E22"/>
    <w:rsid w:val="00E0275F"/>
    <w:rsid w:val="00E029B7"/>
    <w:rsid w:val="00E0372F"/>
    <w:rsid w:val="00E049EC"/>
    <w:rsid w:val="00E04C02"/>
    <w:rsid w:val="00E0520C"/>
    <w:rsid w:val="00E058CB"/>
    <w:rsid w:val="00E05E30"/>
    <w:rsid w:val="00E05E86"/>
    <w:rsid w:val="00E06DD4"/>
    <w:rsid w:val="00E06F37"/>
    <w:rsid w:val="00E0716E"/>
    <w:rsid w:val="00E079BF"/>
    <w:rsid w:val="00E11BEB"/>
    <w:rsid w:val="00E1298A"/>
    <w:rsid w:val="00E12BAE"/>
    <w:rsid w:val="00E12C83"/>
    <w:rsid w:val="00E13D81"/>
    <w:rsid w:val="00E144B1"/>
    <w:rsid w:val="00E1486C"/>
    <w:rsid w:val="00E165FF"/>
    <w:rsid w:val="00E16B92"/>
    <w:rsid w:val="00E16D34"/>
    <w:rsid w:val="00E17072"/>
    <w:rsid w:val="00E17F65"/>
    <w:rsid w:val="00E20237"/>
    <w:rsid w:val="00E20448"/>
    <w:rsid w:val="00E20745"/>
    <w:rsid w:val="00E20C50"/>
    <w:rsid w:val="00E21A98"/>
    <w:rsid w:val="00E21AB5"/>
    <w:rsid w:val="00E2292D"/>
    <w:rsid w:val="00E22A8F"/>
    <w:rsid w:val="00E233CC"/>
    <w:rsid w:val="00E2458A"/>
    <w:rsid w:val="00E245A7"/>
    <w:rsid w:val="00E26361"/>
    <w:rsid w:val="00E2664D"/>
    <w:rsid w:val="00E3097C"/>
    <w:rsid w:val="00E32D1B"/>
    <w:rsid w:val="00E33F16"/>
    <w:rsid w:val="00E33F4C"/>
    <w:rsid w:val="00E33FAA"/>
    <w:rsid w:val="00E34290"/>
    <w:rsid w:val="00E3443D"/>
    <w:rsid w:val="00E34F30"/>
    <w:rsid w:val="00E3516C"/>
    <w:rsid w:val="00E356A4"/>
    <w:rsid w:val="00E35AF3"/>
    <w:rsid w:val="00E367C7"/>
    <w:rsid w:val="00E36ADF"/>
    <w:rsid w:val="00E36EC1"/>
    <w:rsid w:val="00E370D8"/>
    <w:rsid w:val="00E400C9"/>
    <w:rsid w:val="00E426D7"/>
    <w:rsid w:val="00E427CB"/>
    <w:rsid w:val="00E42DEC"/>
    <w:rsid w:val="00E42EB7"/>
    <w:rsid w:val="00E439B3"/>
    <w:rsid w:val="00E452DC"/>
    <w:rsid w:val="00E452FE"/>
    <w:rsid w:val="00E46314"/>
    <w:rsid w:val="00E504BD"/>
    <w:rsid w:val="00E51089"/>
    <w:rsid w:val="00E51685"/>
    <w:rsid w:val="00E51BB6"/>
    <w:rsid w:val="00E52356"/>
    <w:rsid w:val="00E526E5"/>
    <w:rsid w:val="00E52E4C"/>
    <w:rsid w:val="00E52FF7"/>
    <w:rsid w:val="00E535F6"/>
    <w:rsid w:val="00E53B5D"/>
    <w:rsid w:val="00E54168"/>
    <w:rsid w:val="00E544E6"/>
    <w:rsid w:val="00E54535"/>
    <w:rsid w:val="00E5477F"/>
    <w:rsid w:val="00E548E4"/>
    <w:rsid w:val="00E54BA6"/>
    <w:rsid w:val="00E54E79"/>
    <w:rsid w:val="00E55220"/>
    <w:rsid w:val="00E55631"/>
    <w:rsid w:val="00E558B6"/>
    <w:rsid w:val="00E55B34"/>
    <w:rsid w:val="00E5608A"/>
    <w:rsid w:val="00E56360"/>
    <w:rsid w:val="00E57595"/>
    <w:rsid w:val="00E60219"/>
    <w:rsid w:val="00E60452"/>
    <w:rsid w:val="00E60BD5"/>
    <w:rsid w:val="00E61F8B"/>
    <w:rsid w:val="00E62BB5"/>
    <w:rsid w:val="00E62C75"/>
    <w:rsid w:val="00E635B7"/>
    <w:rsid w:val="00E6435C"/>
    <w:rsid w:val="00E64FAE"/>
    <w:rsid w:val="00E658DB"/>
    <w:rsid w:val="00E65BC8"/>
    <w:rsid w:val="00E65DBE"/>
    <w:rsid w:val="00E665C0"/>
    <w:rsid w:val="00E70248"/>
    <w:rsid w:val="00E71B24"/>
    <w:rsid w:val="00E71E2D"/>
    <w:rsid w:val="00E72864"/>
    <w:rsid w:val="00E72B05"/>
    <w:rsid w:val="00E74AE6"/>
    <w:rsid w:val="00E750C2"/>
    <w:rsid w:val="00E750D7"/>
    <w:rsid w:val="00E75507"/>
    <w:rsid w:val="00E77356"/>
    <w:rsid w:val="00E775C1"/>
    <w:rsid w:val="00E77E11"/>
    <w:rsid w:val="00E80778"/>
    <w:rsid w:val="00E82E22"/>
    <w:rsid w:val="00E82F58"/>
    <w:rsid w:val="00E836C1"/>
    <w:rsid w:val="00E83984"/>
    <w:rsid w:val="00E840AC"/>
    <w:rsid w:val="00E84123"/>
    <w:rsid w:val="00E84A87"/>
    <w:rsid w:val="00E85326"/>
    <w:rsid w:val="00E85498"/>
    <w:rsid w:val="00E85AD9"/>
    <w:rsid w:val="00E85AF2"/>
    <w:rsid w:val="00E86A4D"/>
    <w:rsid w:val="00E86ECC"/>
    <w:rsid w:val="00E87469"/>
    <w:rsid w:val="00E87884"/>
    <w:rsid w:val="00E87E30"/>
    <w:rsid w:val="00E914BB"/>
    <w:rsid w:val="00E9281A"/>
    <w:rsid w:val="00E92B91"/>
    <w:rsid w:val="00E940E2"/>
    <w:rsid w:val="00E95DE8"/>
    <w:rsid w:val="00E96A74"/>
    <w:rsid w:val="00E9735E"/>
    <w:rsid w:val="00E97801"/>
    <w:rsid w:val="00E97FC6"/>
    <w:rsid w:val="00EA01E9"/>
    <w:rsid w:val="00EA025E"/>
    <w:rsid w:val="00EA1B38"/>
    <w:rsid w:val="00EA23B6"/>
    <w:rsid w:val="00EA25C8"/>
    <w:rsid w:val="00EA2C76"/>
    <w:rsid w:val="00EA2E4D"/>
    <w:rsid w:val="00EA2FDD"/>
    <w:rsid w:val="00EA466D"/>
    <w:rsid w:val="00EA4B21"/>
    <w:rsid w:val="00EA4EE2"/>
    <w:rsid w:val="00EA524E"/>
    <w:rsid w:val="00EA5800"/>
    <w:rsid w:val="00EA6460"/>
    <w:rsid w:val="00EA75DD"/>
    <w:rsid w:val="00EB0EFE"/>
    <w:rsid w:val="00EB1CC1"/>
    <w:rsid w:val="00EB2546"/>
    <w:rsid w:val="00EB2CC8"/>
    <w:rsid w:val="00EB3111"/>
    <w:rsid w:val="00EB3286"/>
    <w:rsid w:val="00EB5193"/>
    <w:rsid w:val="00EB5611"/>
    <w:rsid w:val="00EB6507"/>
    <w:rsid w:val="00EB6F47"/>
    <w:rsid w:val="00EC12EB"/>
    <w:rsid w:val="00EC1888"/>
    <w:rsid w:val="00EC188E"/>
    <w:rsid w:val="00EC21A5"/>
    <w:rsid w:val="00EC2211"/>
    <w:rsid w:val="00EC3349"/>
    <w:rsid w:val="00EC459E"/>
    <w:rsid w:val="00EC55E7"/>
    <w:rsid w:val="00EC64B7"/>
    <w:rsid w:val="00EC6687"/>
    <w:rsid w:val="00EC6D4C"/>
    <w:rsid w:val="00EC6D51"/>
    <w:rsid w:val="00EC6F42"/>
    <w:rsid w:val="00EC77DD"/>
    <w:rsid w:val="00EC7EEF"/>
    <w:rsid w:val="00ED0B71"/>
    <w:rsid w:val="00ED0BA1"/>
    <w:rsid w:val="00ED2134"/>
    <w:rsid w:val="00ED3AF2"/>
    <w:rsid w:val="00ED3F71"/>
    <w:rsid w:val="00ED42D1"/>
    <w:rsid w:val="00ED6C8D"/>
    <w:rsid w:val="00ED7D74"/>
    <w:rsid w:val="00EE0185"/>
    <w:rsid w:val="00EE0935"/>
    <w:rsid w:val="00EE0D8B"/>
    <w:rsid w:val="00EE1778"/>
    <w:rsid w:val="00EE2464"/>
    <w:rsid w:val="00EE29E9"/>
    <w:rsid w:val="00EE2BBC"/>
    <w:rsid w:val="00EE3DD6"/>
    <w:rsid w:val="00EE519E"/>
    <w:rsid w:val="00EE5323"/>
    <w:rsid w:val="00EE60ED"/>
    <w:rsid w:val="00EE658F"/>
    <w:rsid w:val="00EE6C03"/>
    <w:rsid w:val="00EE6DEF"/>
    <w:rsid w:val="00EE6ED6"/>
    <w:rsid w:val="00EE72AF"/>
    <w:rsid w:val="00EE73FD"/>
    <w:rsid w:val="00EF0FE2"/>
    <w:rsid w:val="00EF11BA"/>
    <w:rsid w:val="00EF129E"/>
    <w:rsid w:val="00EF1484"/>
    <w:rsid w:val="00EF1CD1"/>
    <w:rsid w:val="00EF260F"/>
    <w:rsid w:val="00EF283E"/>
    <w:rsid w:val="00EF3803"/>
    <w:rsid w:val="00EF48A6"/>
    <w:rsid w:val="00EF562C"/>
    <w:rsid w:val="00EF5DB4"/>
    <w:rsid w:val="00EF70F7"/>
    <w:rsid w:val="00EF77EC"/>
    <w:rsid w:val="00EF7AFD"/>
    <w:rsid w:val="00EF7B18"/>
    <w:rsid w:val="00F00BD1"/>
    <w:rsid w:val="00F01F93"/>
    <w:rsid w:val="00F02764"/>
    <w:rsid w:val="00F02B69"/>
    <w:rsid w:val="00F02C08"/>
    <w:rsid w:val="00F02FF8"/>
    <w:rsid w:val="00F032CF"/>
    <w:rsid w:val="00F0349E"/>
    <w:rsid w:val="00F03A8E"/>
    <w:rsid w:val="00F03B91"/>
    <w:rsid w:val="00F046E9"/>
    <w:rsid w:val="00F0492B"/>
    <w:rsid w:val="00F049CD"/>
    <w:rsid w:val="00F06A57"/>
    <w:rsid w:val="00F06B6B"/>
    <w:rsid w:val="00F06CF7"/>
    <w:rsid w:val="00F073E2"/>
    <w:rsid w:val="00F07633"/>
    <w:rsid w:val="00F10551"/>
    <w:rsid w:val="00F10B76"/>
    <w:rsid w:val="00F10E09"/>
    <w:rsid w:val="00F1183E"/>
    <w:rsid w:val="00F13260"/>
    <w:rsid w:val="00F13785"/>
    <w:rsid w:val="00F13794"/>
    <w:rsid w:val="00F13AA9"/>
    <w:rsid w:val="00F13D23"/>
    <w:rsid w:val="00F142F6"/>
    <w:rsid w:val="00F14C3E"/>
    <w:rsid w:val="00F152EF"/>
    <w:rsid w:val="00F153EB"/>
    <w:rsid w:val="00F16531"/>
    <w:rsid w:val="00F16A8D"/>
    <w:rsid w:val="00F20B9E"/>
    <w:rsid w:val="00F22CAC"/>
    <w:rsid w:val="00F239EC"/>
    <w:rsid w:val="00F24655"/>
    <w:rsid w:val="00F25D2D"/>
    <w:rsid w:val="00F26400"/>
    <w:rsid w:val="00F265E6"/>
    <w:rsid w:val="00F26E82"/>
    <w:rsid w:val="00F300C6"/>
    <w:rsid w:val="00F305AE"/>
    <w:rsid w:val="00F30EAB"/>
    <w:rsid w:val="00F31144"/>
    <w:rsid w:val="00F31267"/>
    <w:rsid w:val="00F317E5"/>
    <w:rsid w:val="00F31AB6"/>
    <w:rsid w:val="00F3227A"/>
    <w:rsid w:val="00F32334"/>
    <w:rsid w:val="00F3267B"/>
    <w:rsid w:val="00F3356A"/>
    <w:rsid w:val="00F336DB"/>
    <w:rsid w:val="00F340AB"/>
    <w:rsid w:val="00F342B0"/>
    <w:rsid w:val="00F34D45"/>
    <w:rsid w:val="00F363D0"/>
    <w:rsid w:val="00F36610"/>
    <w:rsid w:val="00F36AA9"/>
    <w:rsid w:val="00F36C0C"/>
    <w:rsid w:val="00F4072E"/>
    <w:rsid w:val="00F40824"/>
    <w:rsid w:val="00F40B25"/>
    <w:rsid w:val="00F40EAC"/>
    <w:rsid w:val="00F417C3"/>
    <w:rsid w:val="00F419A8"/>
    <w:rsid w:val="00F419DE"/>
    <w:rsid w:val="00F43935"/>
    <w:rsid w:val="00F43EBC"/>
    <w:rsid w:val="00F44EE7"/>
    <w:rsid w:val="00F46850"/>
    <w:rsid w:val="00F46F26"/>
    <w:rsid w:val="00F47906"/>
    <w:rsid w:val="00F5067C"/>
    <w:rsid w:val="00F52F4B"/>
    <w:rsid w:val="00F53F57"/>
    <w:rsid w:val="00F54267"/>
    <w:rsid w:val="00F54C70"/>
    <w:rsid w:val="00F54C91"/>
    <w:rsid w:val="00F55A67"/>
    <w:rsid w:val="00F5628A"/>
    <w:rsid w:val="00F60B4F"/>
    <w:rsid w:val="00F60F75"/>
    <w:rsid w:val="00F617B9"/>
    <w:rsid w:val="00F6189B"/>
    <w:rsid w:val="00F61FE7"/>
    <w:rsid w:val="00F62155"/>
    <w:rsid w:val="00F630B7"/>
    <w:rsid w:val="00F655EF"/>
    <w:rsid w:val="00F65E41"/>
    <w:rsid w:val="00F67E31"/>
    <w:rsid w:val="00F7060D"/>
    <w:rsid w:val="00F706C1"/>
    <w:rsid w:val="00F710AD"/>
    <w:rsid w:val="00F715DB"/>
    <w:rsid w:val="00F74229"/>
    <w:rsid w:val="00F74D4D"/>
    <w:rsid w:val="00F76358"/>
    <w:rsid w:val="00F77118"/>
    <w:rsid w:val="00F77233"/>
    <w:rsid w:val="00F77A37"/>
    <w:rsid w:val="00F77DD7"/>
    <w:rsid w:val="00F803B3"/>
    <w:rsid w:val="00F80A80"/>
    <w:rsid w:val="00F80AE7"/>
    <w:rsid w:val="00F811A5"/>
    <w:rsid w:val="00F816BF"/>
    <w:rsid w:val="00F837F4"/>
    <w:rsid w:val="00F8398E"/>
    <w:rsid w:val="00F84A5D"/>
    <w:rsid w:val="00F84AEB"/>
    <w:rsid w:val="00F84E3D"/>
    <w:rsid w:val="00F85063"/>
    <w:rsid w:val="00F8526F"/>
    <w:rsid w:val="00F8593E"/>
    <w:rsid w:val="00F86620"/>
    <w:rsid w:val="00F86D9B"/>
    <w:rsid w:val="00F87612"/>
    <w:rsid w:val="00F8788D"/>
    <w:rsid w:val="00F901D7"/>
    <w:rsid w:val="00F91BCA"/>
    <w:rsid w:val="00F9220C"/>
    <w:rsid w:val="00F928C9"/>
    <w:rsid w:val="00F92B83"/>
    <w:rsid w:val="00F92BF6"/>
    <w:rsid w:val="00F92F22"/>
    <w:rsid w:val="00F93549"/>
    <w:rsid w:val="00F93934"/>
    <w:rsid w:val="00F942A7"/>
    <w:rsid w:val="00F9561D"/>
    <w:rsid w:val="00F965F3"/>
    <w:rsid w:val="00F9745A"/>
    <w:rsid w:val="00F97ADB"/>
    <w:rsid w:val="00FA1B7B"/>
    <w:rsid w:val="00FA1F18"/>
    <w:rsid w:val="00FA253F"/>
    <w:rsid w:val="00FA4B3A"/>
    <w:rsid w:val="00FA534D"/>
    <w:rsid w:val="00FA5507"/>
    <w:rsid w:val="00FA6F15"/>
    <w:rsid w:val="00FA76A4"/>
    <w:rsid w:val="00FA7BD2"/>
    <w:rsid w:val="00FB0DBA"/>
    <w:rsid w:val="00FB0F8E"/>
    <w:rsid w:val="00FB104E"/>
    <w:rsid w:val="00FB15E1"/>
    <w:rsid w:val="00FB177D"/>
    <w:rsid w:val="00FB1BFF"/>
    <w:rsid w:val="00FB2216"/>
    <w:rsid w:val="00FB2CA5"/>
    <w:rsid w:val="00FB3E83"/>
    <w:rsid w:val="00FB4778"/>
    <w:rsid w:val="00FB5589"/>
    <w:rsid w:val="00FB6028"/>
    <w:rsid w:val="00FB60E5"/>
    <w:rsid w:val="00FB7CE0"/>
    <w:rsid w:val="00FB7E69"/>
    <w:rsid w:val="00FC032F"/>
    <w:rsid w:val="00FC06CB"/>
    <w:rsid w:val="00FC0F9E"/>
    <w:rsid w:val="00FC1025"/>
    <w:rsid w:val="00FC1644"/>
    <w:rsid w:val="00FC3424"/>
    <w:rsid w:val="00FC3D67"/>
    <w:rsid w:val="00FC61D3"/>
    <w:rsid w:val="00FC64F8"/>
    <w:rsid w:val="00FC68D7"/>
    <w:rsid w:val="00FC7BBC"/>
    <w:rsid w:val="00FD099A"/>
    <w:rsid w:val="00FD1645"/>
    <w:rsid w:val="00FD17E5"/>
    <w:rsid w:val="00FD1F79"/>
    <w:rsid w:val="00FD2344"/>
    <w:rsid w:val="00FD359C"/>
    <w:rsid w:val="00FD3617"/>
    <w:rsid w:val="00FD3CEF"/>
    <w:rsid w:val="00FD42CC"/>
    <w:rsid w:val="00FD58CD"/>
    <w:rsid w:val="00FD5D08"/>
    <w:rsid w:val="00FD733D"/>
    <w:rsid w:val="00FD7AB6"/>
    <w:rsid w:val="00FD7CDD"/>
    <w:rsid w:val="00FE1CCE"/>
    <w:rsid w:val="00FE2C18"/>
    <w:rsid w:val="00FE308E"/>
    <w:rsid w:val="00FE4086"/>
    <w:rsid w:val="00FE634E"/>
    <w:rsid w:val="00FE69FD"/>
    <w:rsid w:val="00FE6B2A"/>
    <w:rsid w:val="00FF03BE"/>
    <w:rsid w:val="00FF0527"/>
    <w:rsid w:val="00FF10BE"/>
    <w:rsid w:val="00FF1796"/>
    <w:rsid w:val="00FF1BF3"/>
    <w:rsid w:val="00FF4F80"/>
    <w:rsid w:val="00FF50A4"/>
    <w:rsid w:val="00FF5F1F"/>
    <w:rsid w:val="00FF631F"/>
    <w:rsid w:val="00FF63DC"/>
    <w:rsid w:val="00FF7720"/>
    <w:rsid w:val="00FF7E6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1CE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8EE"/>
    <w:pPr>
      <w:spacing w:line="280" w:lineRule="atLeast"/>
    </w:pPr>
    <w:rPr>
      <w:rFonts w:ascii="Gotham Book" w:hAnsi="Gotham Book"/>
      <w:sz w:val="20"/>
    </w:rPr>
  </w:style>
  <w:style w:type="paragraph" w:styleId="Heading1">
    <w:name w:val="heading 1"/>
    <w:basedOn w:val="Title"/>
    <w:next w:val="Normal"/>
    <w:link w:val="Heading1Char"/>
    <w:uiPriority w:val="9"/>
    <w:qFormat/>
    <w:rsid w:val="00BD2D3E"/>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outlineLvl w:val="1"/>
    </w:pPr>
    <w:rPr>
      <w:kern w:val="0"/>
      <w:sz w:val="36"/>
      <w:szCs w:val="32"/>
    </w:rPr>
  </w:style>
  <w:style w:type="paragraph" w:styleId="Heading3">
    <w:name w:val="heading 3"/>
    <w:basedOn w:val="Normal"/>
    <w:next w:val="Normal"/>
    <w:link w:val="Heading3Char"/>
    <w:uiPriority w:val="9"/>
    <w:qFormat/>
    <w:rsid w:val="00C352F3"/>
    <w:pPr>
      <w:keepNext/>
      <w:keepLines/>
      <w:spacing w:before="240" w:after="12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C352F3"/>
    <w:pPr>
      <w:keepNext/>
      <w:keepLines/>
      <w:spacing w:before="240" w:after="12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rsid w:val="00FB3E83"/>
    <w:pPr>
      <w:outlineLvl w:val="4"/>
    </w:pPr>
    <w:rPr>
      <w:i/>
      <w:iCs/>
      <w:sz w:val="20"/>
      <w:szCs w:val="20"/>
    </w:rPr>
  </w:style>
  <w:style w:type="paragraph" w:styleId="Heading6">
    <w:name w:val="heading 6"/>
    <w:basedOn w:val="Heading5"/>
    <w:next w:val="Normal"/>
    <w:link w:val="Heading6Char"/>
    <w:uiPriority w:val="9"/>
    <w:unhideWhenUsed/>
    <w:qFormat/>
    <w:rsid w:val="00C352F3"/>
    <w:pPr>
      <w:spacing w:after="0"/>
      <w:outlineLvl w:val="5"/>
    </w:pPr>
    <w:rPr>
      <w:rFonts w:ascii="Gotham Book" w:hAnsi="Gotham Book"/>
    </w:rPr>
  </w:style>
  <w:style w:type="paragraph" w:styleId="Heading7">
    <w:name w:val="heading 7"/>
    <w:basedOn w:val="Normal"/>
    <w:next w:val="Normal"/>
    <w:link w:val="Heading7Char"/>
    <w:uiPriority w:val="9"/>
    <w:unhideWhenUsed/>
    <w:rsid w:val="00FB3E83"/>
    <w:pPr>
      <w:keepNext/>
      <w:keepLines/>
      <w:numPr>
        <w:ilvl w:val="6"/>
        <w:numId w:val="21"/>
      </w:numPr>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
    <w:basedOn w:val="Normal"/>
    <w:link w:val="ListParagraphChar"/>
    <w:uiPriority w:val="1"/>
    <w:qFormat/>
    <w:rsid w:val="002E2186"/>
    <w:pPr>
      <w:numPr>
        <w:numId w:val="18"/>
      </w:numPr>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next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link w:val="Heading1NumberedChar"/>
    <w:uiPriority w:val="10"/>
    <w:qFormat/>
    <w:rsid w:val="00BF7429"/>
  </w:style>
  <w:style w:type="paragraph" w:customStyle="1" w:styleId="Heading2noline">
    <w:name w:val="Heading 2 no line"/>
    <w:basedOn w:val="Heading2"/>
    <w:uiPriority w:val="9"/>
    <w:qFormat/>
    <w:rsid w:val="00BD2D3E"/>
    <w:pPr>
      <w:pBdr>
        <w:bottom w:val="none" w:sz="0" w:space="0" w:color="auto"/>
      </w:pBdr>
      <w:spacing w:line="360" w:lineRule="atLeast"/>
    </w:pPr>
    <w:rPr>
      <w:sz w:val="32"/>
    </w:rPr>
  </w:style>
  <w:style w:type="paragraph" w:customStyle="1" w:styleId="Heading2Numbered">
    <w:name w:val="Heading 2 Numbered"/>
    <w:basedOn w:val="Heading1Numbered"/>
    <w:link w:val="Heading2NumberedChar"/>
    <w:uiPriority w:val="10"/>
    <w:qFormat/>
    <w:rsid w:val="00B52199"/>
    <w:pPr>
      <w:numPr>
        <w:numId w:val="20"/>
      </w:numPr>
      <w:tabs>
        <w:tab w:val="left" w:pos="1134"/>
      </w:tabs>
      <w:ind w:left="1134" w:hanging="1134"/>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52199"/>
    <w:pPr>
      <w:numPr>
        <w:ilvl w:val="1"/>
      </w:numPr>
    </w:pPr>
    <w:rPr>
      <w:sz w:val="32"/>
      <w:szCs w:val="36"/>
    </w:rPr>
  </w:style>
  <w:style w:type="character" w:customStyle="1" w:styleId="Heading4Char">
    <w:name w:val="Heading 4 Char"/>
    <w:basedOn w:val="DefaultParagraphFont"/>
    <w:link w:val="Heading4"/>
    <w:uiPriority w:val="9"/>
    <w:rsid w:val="00C352F3"/>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B52199"/>
    <w:pPr>
      <w:numPr>
        <w:ilvl w:val="2"/>
        <w:numId w:val="20"/>
      </w:numPr>
      <w:tabs>
        <w:tab w:val="left" w:pos="1134"/>
      </w:tabs>
      <w:outlineLvl w:val="3"/>
    </w:pPr>
    <w:rPr>
      <w:sz w:val="28"/>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numPr>
        <w:ilvl w:val="3"/>
      </w:numPr>
      <w:spacing w:before="240" w:after="120" w:line="400" w:lineRule="atLeast"/>
      <w:contextualSpacing w:val="0"/>
      <w:outlineLvl w:val="4"/>
    </w:pPr>
    <w:rPr>
      <w:sz w:val="24"/>
      <w:szCs w:val="24"/>
    </w:rPr>
  </w:style>
  <w:style w:type="character" w:customStyle="1" w:styleId="Heading6Char">
    <w:name w:val="Heading 6 Char"/>
    <w:basedOn w:val="DefaultParagraphFont"/>
    <w:link w:val="Heading6"/>
    <w:uiPriority w:val="9"/>
    <w:rsid w:val="00C352F3"/>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rsid w:val="00B52199"/>
    <w:pPr>
      <w:keepNext w:val="0"/>
      <w:numPr>
        <w:ilvl w:val="4"/>
      </w:numPr>
      <w:ind w:left="1134" w:hanging="1134"/>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D444F2"/>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ind w:left="360" w:hanging="360"/>
    </w:pPr>
  </w:style>
  <w:style w:type="character" w:styleId="BookTitle">
    <w:name w:val="Book Title"/>
    <w:basedOn w:val="DefaultParagraphFont"/>
    <w:uiPriority w:val="33"/>
    <w:rsid w:val="00B52199"/>
    <w:rPr>
      <w:b/>
      <w:bCs/>
      <w:i/>
      <w:iCs/>
      <w:spacing w:val="5"/>
    </w:rPr>
  </w:style>
  <w:style w:type="paragraph" w:customStyle="1" w:styleId="msonormal0">
    <w:name w:val="msonormal"/>
    <w:basedOn w:val="Normal"/>
    <w:rsid w:val="00882E6E"/>
    <w:pPr>
      <w:spacing w:before="100" w:beforeAutospacing="1" w:after="100" w:afterAutospacing="1" w:line="240" w:lineRule="auto"/>
    </w:pPr>
    <w:rPr>
      <w:rFonts w:ascii="Times New Roman" w:eastAsia="Times New Roman" w:hAnsi="Times New Roman"/>
      <w:color w:val="auto"/>
      <w:sz w:val="24"/>
      <w:szCs w:val="24"/>
    </w:rPr>
  </w:style>
  <w:style w:type="paragraph" w:customStyle="1" w:styleId="paragraph">
    <w:name w:val="paragraph"/>
    <w:basedOn w:val="Normal"/>
    <w:rsid w:val="00882E6E"/>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textrun">
    <w:name w:val="textrun"/>
    <w:basedOn w:val="DefaultParagraphFont"/>
    <w:rsid w:val="00882E6E"/>
  </w:style>
  <w:style w:type="character" w:customStyle="1" w:styleId="normaltextrun">
    <w:name w:val="normaltextrun"/>
    <w:basedOn w:val="DefaultParagraphFont"/>
    <w:rsid w:val="00882E6E"/>
  </w:style>
  <w:style w:type="character" w:customStyle="1" w:styleId="eop">
    <w:name w:val="eop"/>
    <w:basedOn w:val="DefaultParagraphFont"/>
    <w:rsid w:val="00882E6E"/>
  </w:style>
  <w:style w:type="table" w:styleId="GridTable4-Accent1">
    <w:name w:val="Grid Table 4 Accent 1"/>
    <w:basedOn w:val="TableNormal"/>
    <w:uiPriority w:val="49"/>
    <w:rsid w:val="009817EA"/>
    <w:pPr>
      <w:spacing w:before="0" w:after="0" w:line="240" w:lineRule="auto"/>
    </w:pPr>
    <w:rPr>
      <w:rFonts w:cstheme="minorBidi"/>
      <w:color w:val="auto"/>
      <w:sz w:val="24"/>
      <w:szCs w:val="24"/>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77BCD9"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E3F1F7" w:themeFill="accent1" w:themeFillTint="33"/>
      </w:tcPr>
    </w:tblStylePr>
    <w:tblStylePr w:type="band1Horz">
      <w:tblPr/>
      <w:tcPr>
        <w:shd w:val="clear" w:color="auto" w:fill="E3F1F7" w:themeFill="accent1" w:themeFillTint="33"/>
      </w:tcPr>
    </w:tblStylePr>
  </w:style>
  <w:style w:type="paragraph" w:styleId="NormalWeb">
    <w:name w:val="Normal (Web)"/>
    <w:basedOn w:val="Normal"/>
    <w:semiHidden/>
    <w:unhideWhenUsed/>
    <w:rsid w:val="00F16A8D"/>
    <w:rPr>
      <w:rFonts w:ascii="Times New Roman" w:hAnsi="Times New Roman"/>
      <w:sz w:val="24"/>
      <w:szCs w:val="24"/>
    </w:rPr>
  </w:style>
  <w:style w:type="character" w:customStyle="1" w:styleId="ListParagraphChar">
    <w:name w:val="List Paragraph Char"/>
    <w:aliases w:val="List Paragraph1 Char,Recommendation Char,List Paragraph11 Char"/>
    <w:link w:val="ListParagraph"/>
    <w:uiPriority w:val="1"/>
    <w:locked/>
    <w:rsid w:val="0016245B"/>
    <w:rPr>
      <w:rFonts w:ascii="Gotham Book" w:hAnsi="Gotham Book"/>
      <w:sz w:val="20"/>
    </w:rPr>
  </w:style>
  <w:style w:type="character" w:styleId="CommentReference">
    <w:name w:val="annotation reference"/>
    <w:basedOn w:val="DefaultParagraphFont"/>
    <w:semiHidden/>
    <w:unhideWhenUsed/>
    <w:rsid w:val="004A462E"/>
    <w:rPr>
      <w:sz w:val="16"/>
      <w:szCs w:val="16"/>
    </w:rPr>
  </w:style>
  <w:style w:type="paragraph" w:styleId="CommentText">
    <w:name w:val="annotation text"/>
    <w:basedOn w:val="Normal"/>
    <w:link w:val="CommentTextChar"/>
    <w:unhideWhenUsed/>
    <w:rsid w:val="004A462E"/>
    <w:pPr>
      <w:spacing w:line="240" w:lineRule="auto"/>
    </w:pPr>
    <w:rPr>
      <w:szCs w:val="20"/>
    </w:rPr>
  </w:style>
  <w:style w:type="character" w:customStyle="1" w:styleId="CommentTextChar">
    <w:name w:val="Comment Text Char"/>
    <w:basedOn w:val="DefaultParagraphFont"/>
    <w:link w:val="CommentText"/>
    <w:rsid w:val="004A462E"/>
    <w:rPr>
      <w:rFonts w:ascii="Gotham Book" w:hAnsi="Gotham Book"/>
      <w:sz w:val="20"/>
      <w:szCs w:val="20"/>
    </w:rPr>
  </w:style>
  <w:style w:type="paragraph" w:styleId="CommentSubject">
    <w:name w:val="annotation subject"/>
    <w:basedOn w:val="CommentText"/>
    <w:next w:val="CommentText"/>
    <w:link w:val="CommentSubjectChar"/>
    <w:semiHidden/>
    <w:unhideWhenUsed/>
    <w:rsid w:val="004A462E"/>
    <w:rPr>
      <w:b/>
      <w:bCs/>
    </w:rPr>
  </w:style>
  <w:style w:type="character" w:customStyle="1" w:styleId="CommentSubjectChar">
    <w:name w:val="Comment Subject Char"/>
    <w:basedOn w:val="CommentTextChar"/>
    <w:link w:val="CommentSubject"/>
    <w:semiHidden/>
    <w:rsid w:val="004A462E"/>
    <w:rPr>
      <w:rFonts w:ascii="Gotham Book" w:hAnsi="Gotham Book"/>
      <w:b/>
      <w:bCs/>
      <w:sz w:val="20"/>
      <w:szCs w:val="20"/>
    </w:rPr>
  </w:style>
  <w:style w:type="paragraph" w:styleId="Revision">
    <w:name w:val="Revision"/>
    <w:hidden/>
    <w:uiPriority w:val="99"/>
    <w:semiHidden/>
    <w:rsid w:val="00050E65"/>
    <w:pPr>
      <w:spacing w:before="0" w:after="0" w:line="240" w:lineRule="auto"/>
    </w:pPr>
    <w:rPr>
      <w:rFonts w:ascii="Gotham Book" w:hAnsi="Gotham Book"/>
      <w:sz w:val="20"/>
    </w:rPr>
  </w:style>
  <w:style w:type="paragraph" w:customStyle="1" w:styleId="Style1">
    <w:name w:val="Style1"/>
    <w:basedOn w:val="Heading2Numbered"/>
    <w:link w:val="Style1Char"/>
    <w:qFormat/>
    <w:rsid w:val="004A0784"/>
    <w:rPr>
      <w:sz w:val="28"/>
      <w:szCs w:val="28"/>
    </w:rPr>
  </w:style>
  <w:style w:type="character" w:customStyle="1" w:styleId="Heading1NumberedChar">
    <w:name w:val="Heading 1 Numbered Char"/>
    <w:basedOn w:val="Heading1Char"/>
    <w:link w:val="Heading1Numbered"/>
    <w:uiPriority w:val="10"/>
    <w:rsid w:val="004A0784"/>
    <w:rPr>
      <w:rFonts w:ascii="Gotham Medium" w:eastAsiaTheme="majorEastAsia" w:hAnsi="Gotham Medium" w:cstheme="majorBidi"/>
      <w:color w:val="09002E" w:themeColor="text2"/>
      <w:kern w:val="28"/>
      <w:sz w:val="48"/>
      <w:szCs w:val="56"/>
    </w:rPr>
  </w:style>
  <w:style w:type="character" w:customStyle="1" w:styleId="Heading2NumberedChar">
    <w:name w:val="Heading 2 Numbered Char"/>
    <w:basedOn w:val="Heading1NumberedChar"/>
    <w:link w:val="Heading2Numbered"/>
    <w:uiPriority w:val="10"/>
    <w:rsid w:val="004A0784"/>
    <w:rPr>
      <w:rFonts w:ascii="Gotham Medium" w:eastAsiaTheme="majorEastAsia" w:hAnsi="Gotham Medium" w:cstheme="majorBidi"/>
      <w:color w:val="09002E" w:themeColor="text2"/>
      <w:kern w:val="28"/>
      <w:sz w:val="36"/>
      <w:szCs w:val="56"/>
    </w:rPr>
  </w:style>
  <w:style w:type="character" w:customStyle="1" w:styleId="Style1Char">
    <w:name w:val="Style1 Char"/>
    <w:basedOn w:val="Heading2NumberedChar"/>
    <w:link w:val="Style1"/>
    <w:rsid w:val="004A0784"/>
    <w:rPr>
      <w:rFonts w:ascii="Gotham Medium" w:eastAsiaTheme="majorEastAsia" w:hAnsi="Gotham Medium" w:cstheme="majorBidi"/>
      <w:color w:val="09002E" w:themeColor="text2"/>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1760">
      <w:marLeft w:val="0"/>
      <w:marRight w:val="0"/>
      <w:marTop w:val="0"/>
      <w:marBottom w:val="0"/>
      <w:divBdr>
        <w:top w:val="none" w:sz="0" w:space="0" w:color="auto"/>
        <w:left w:val="none" w:sz="0" w:space="0" w:color="auto"/>
        <w:bottom w:val="none" w:sz="0" w:space="0" w:color="auto"/>
        <w:right w:val="none" w:sz="0" w:space="0" w:color="auto"/>
      </w:divBdr>
      <w:divsChild>
        <w:div w:id="2051804044">
          <w:marLeft w:val="0"/>
          <w:marRight w:val="0"/>
          <w:marTop w:val="0"/>
          <w:marBottom w:val="0"/>
          <w:divBdr>
            <w:top w:val="none" w:sz="0" w:space="0" w:color="auto"/>
            <w:left w:val="none" w:sz="0" w:space="0" w:color="auto"/>
            <w:bottom w:val="none" w:sz="0" w:space="0" w:color="auto"/>
            <w:right w:val="none" w:sz="0" w:space="0" w:color="auto"/>
          </w:divBdr>
        </w:div>
      </w:divsChild>
    </w:div>
    <w:div w:id="26764380">
      <w:bodyDiv w:val="1"/>
      <w:marLeft w:val="0"/>
      <w:marRight w:val="0"/>
      <w:marTop w:val="0"/>
      <w:marBottom w:val="0"/>
      <w:divBdr>
        <w:top w:val="none" w:sz="0" w:space="0" w:color="auto"/>
        <w:left w:val="none" w:sz="0" w:space="0" w:color="auto"/>
        <w:bottom w:val="none" w:sz="0" w:space="0" w:color="auto"/>
        <w:right w:val="none" w:sz="0" w:space="0" w:color="auto"/>
      </w:divBdr>
    </w:div>
    <w:div w:id="88238197">
      <w:marLeft w:val="0"/>
      <w:marRight w:val="0"/>
      <w:marTop w:val="0"/>
      <w:marBottom w:val="0"/>
      <w:divBdr>
        <w:top w:val="none" w:sz="0" w:space="0" w:color="auto"/>
        <w:left w:val="none" w:sz="0" w:space="0" w:color="auto"/>
        <w:bottom w:val="none" w:sz="0" w:space="0" w:color="auto"/>
        <w:right w:val="none" w:sz="0" w:space="0" w:color="auto"/>
      </w:divBdr>
      <w:divsChild>
        <w:div w:id="381759241">
          <w:marLeft w:val="0"/>
          <w:marRight w:val="0"/>
          <w:marTop w:val="0"/>
          <w:marBottom w:val="0"/>
          <w:divBdr>
            <w:top w:val="none" w:sz="0" w:space="0" w:color="auto"/>
            <w:left w:val="none" w:sz="0" w:space="0" w:color="auto"/>
            <w:bottom w:val="none" w:sz="0" w:space="0" w:color="auto"/>
            <w:right w:val="none" w:sz="0" w:space="0" w:color="auto"/>
          </w:divBdr>
        </w:div>
      </w:divsChild>
    </w:div>
    <w:div w:id="150952518">
      <w:marLeft w:val="0"/>
      <w:marRight w:val="0"/>
      <w:marTop w:val="0"/>
      <w:marBottom w:val="0"/>
      <w:divBdr>
        <w:top w:val="none" w:sz="0" w:space="0" w:color="auto"/>
        <w:left w:val="none" w:sz="0" w:space="0" w:color="auto"/>
        <w:bottom w:val="none" w:sz="0" w:space="0" w:color="auto"/>
        <w:right w:val="none" w:sz="0" w:space="0" w:color="auto"/>
      </w:divBdr>
      <w:divsChild>
        <w:div w:id="400567589">
          <w:marLeft w:val="0"/>
          <w:marRight w:val="0"/>
          <w:marTop w:val="0"/>
          <w:marBottom w:val="0"/>
          <w:divBdr>
            <w:top w:val="none" w:sz="0" w:space="0" w:color="auto"/>
            <w:left w:val="none" w:sz="0" w:space="0" w:color="auto"/>
            <w:bottom w:val="none" w:sz="0" w:space="0" w:color="auto"/>
            <w:right w:val="none" w:sz="0" w:space="0" w:color="auto"/>
          </w:divBdr>
        </w:div>
      </w:divsChild>
    </w:div>
    <w:div w:id="167671830">
      <w:marLeft w:val="0"/>
      <w:marRight w:val="0"/>
      <w:marTop w:val="0"/>
      <w:marBottom w:val="0"/>
      <w:divBdr>
        <w:top w:val="none" w:sz="0" w:space="0" w:color="auto"/>
        <w:left w:val="none" w:sz="0" w:space="0" w:color="auto"/>
        <w:bottom w:val="none" w:sz="0" w:space="0" w:color="auto"/>
        <w:right w:val="none" w:sz="0" w:space="0" w:color="auto"/>
      </w:divBdr>
      <w:divsChild>
        <w:div w:id="1309898694">
          <w:marLeft w:val="0"/>
          <w:marRight w:val="0"/>
          <w:marTop w:val="0"/>
          <w:marBottom w:val="0"/>
          <w:divBdr>
            <w:top w:val="none" w:sz="0" w:space="0" w:color="auto"/>
            <w:left w:val="none" w:sz="0" w:space="0" w:color="auto"/>
            <w:bottom w:val="none" w:sz="0" w:space="0" w:color="auto"/>
            <w:right w:val="none" w:sz="0" w:space="0" w:color="auto"/>
          </w:divBdr>
        </w:div>
      </w:divsChild>
    </w:div>
    <w:div w:id="235938679">
      <w:marLeft w:val="0"/>
      <w:marRight w:val="0"/>
      <w:marTop w:val="0"/>
      <w:marBottom w:val="0"/>
      <w:divBdr>
        <w:top w:val="none" w:sz="0" w:space="0" w:color="auto"/>
        <w:left w:val="none" w:sz="0" w:space="0" w:color="auto"/>
        <w:bottom w:val="none" w:sz="0" w:space="0" w:color="auto"/>
        <w:right w:val="none" w:sz="0" w:space="0" w:color="auto"/>
      </w:divBdr>
      <w:divsChild>
        <w:div w:id="389228150">
          <w:marLeft w:val="0"/>
          <w:marRight w:val="0"/>
          <w:marTop w:val="0"/>
          <w:marBottom w:val="0"/>
          <w:divBdr>
            <w:top w:val="none" w:sz="0" w:space="0" w:color="auto"/>
            <w:left w:val="none" w:sz="0" w:space="0" w:color="auto"/>
            <w:bottom w:val="none" w:sz="0" w:space="0" w:color="auto"/>
            <w:right w:val="none" w:sz="0" w:space="0" w:color="auto"/>
          </w:divBdr>
        </w:div>
      </w:divsChild>
    </w:div>
    <w:div w:id="259684493">
      <w:marLeft w:val="0"/>
      <w:marRight w:val="0"/>
      <w:marTop w:val="0"/>
      <w:marBottom w:val="0"/>
      <w:divBdr>
        <w:top w:val="none" w:sz="0" w:space="0" w:color="auto"/>
        <w:left w:val="none" w:sz="0" w:space="0" w:color="auto"/>
        <w:bottom w:val="none" w:sz="0" w:space="0" w:color="auto"/>
        <w:right w:val="none" w:sz="0" w:space="0" w:color="auto"/>
      </w:divBdr>
      <w:divsChild>
        <w:div w:id="131875561">
          <w:marLeft w:val="0"/>
          <w:marRight w:val="0"/>
          <w:marTop w:val="0"/>
          <w:marBottom w:val="0"/>
          <w:divBdr>
            <w:top w:val="none" w:sz="0" w:space="0" w:color="auto"/>
            <w:left w:val="none" w:sz="0" w:space="0" w:color="auto"/>
            <w:bottom w:val="none" w:sz="0" w:space="0" w:color="auto"/>
            <w:right w:val="none" w:sz="0" w:space="0" w:color="auto"/>
          </w:divBdr>
        </w:div>
      </w:divsChild>
    </w:div>
    <w:div w:id="263075532">
      <w:marLeft w:val="0"/>
      <w:marRight w:val="0"/>
      <w:marTop w:val="0"/>
      <w:marBottom w:val="0"/>
      <w:divBdr>
        <w:top w:val="none" w:sz="0" w:space="0" w:color="auto"/>
        <w:left w:val="none" w:sz="0" w:space="0" w:color="auto"/>
        <w:bottom w:val="none" w:sz="0" w:space="0" w:color="auto"/>
        <w:right w:val="none" w:sz="0" w:space="0" w:color="auto"/>
      </w:divBdr>
      <w:divsChild>
        <w:div w:id="1701006789">
          <w:marLeft w:val="0"/>
          <w:marRight w:val="0"/>
          <w:marTop w:val="0"/>
          <w:marBottom w:val="0"/>
          <w:divBdr>
            <w:top w:val="none" w:sz="0" w:space="0" w:color="auto"/>
            <w:left w:val="none" w:sz="0" w:space="0" w:color="auto"/>
            <w:bottom w:val="none" w:sz="0" w:space="0" w:color="auto"/>
            <w:right w:val="none" w:sz="0" w:space="0" w:color="auto"/>
          </w:divBdr>
        </w:div>
      </w:divsChild>
    </w:div>
    <w:div w:id="274561516">
      <w:bodyDiv w:val="1"/>
      <w:marLeft w:val="0"/>
      <w:marRight w:val="0"/>
      <w:marTop w:val="0"/>
      <w:marBottom w:val="0"/>
      <w:divBdr>
        <w:top w:val="none" w:sz="0" w:space="0" w:color="auto"/>
        <w:left w:val="none" w:sz="0" w:space="0" w:color="auto"/>
        <w:bottom w:val="none" w:sz="0" w:space="0" w:color="auto"/>
        <w:right w:val="none" w:sz="0" w:space="0" w:color="auto"/>
      </w:divBdr>
      <w:divsChild>
        <w:div w:id="38751692">
          <w:marLeft w:val="0"/>
          <w:marRight w:val="0"/>
          <w:marTop w:val="0"/>
          <w:marBottom w:val="0"/>
          <w:divBdr>
            <w:top w:val="none" w:sz="0" w:space="0" w:color="auto"/>
            <w:left w:val="none" w:sz="0" w:space="0" w:color="auto"/>
            <w:bottom w:val="none" w:sz="0" w:space="0" w:color="auto"/>
            <w:right w:val="none" w:sz="0" w:space="0" w:color="auto"/>
          </w:divBdr>
        </w:div>
        <w:div w:id="69009750">
          <w:marLeft w:val="0"/>
          <w:marRight w:val="0"/>
          <w:marTop w:val="0"/>
          <w:marBottom w:val="0"/>
          <w:divBdr>
            <w:top w:val="none" w:sz="0" w:space="0" w:color="auto"/>
            <w:left w:val="none" w:sz="0" w:space="0" w:color="auto"/>
            <w:bottom w:val="none" w:sz="0" w:space="0" w:color="auto"/>
            <w:right w:val="none" w:sz="0" w:space="0" w:color="auto"/>
          </w:divBdr>
        </w:div>
        <w:div w:id="223298166">
          <w:marLeft w:val="0"/>
          <w:marRight w:val="0"/>
          <w:marTop w:val="0"/>
          <w:marBottom w:val="0"/>
          <w:divBdr>
            <w:top w:val="none" w:sz="0" w:space="0" w:color="auto"/>
            <w:left w:val="none" w:sz="0" w:space="0" w:color="auto"/>
            <w:bottom w:val="none" w:sz="0" w:space="0" w:color="auto"/>
            <w:right w:val="none" w:sz="0" w:space="0" w:color="auto"/>
          </w:divBdr>
        </w:div>
        <w:div w:id="309986714">
          <w:marLeft w:val="0"/>
          <w:marRight w:val="0"/>
          <w:marTop w:val="0"/>
          <w:marBottom w:val="0"/>
          <w:divBdr>
            <w:top w:val="none" w:sz="0" w:space="0" w:color="auto"/>
            <w:left w:val="none" w:sz="0" w:space="0" w:color="auto"/>
            <w:bottom w:val="none" w:sz="0" w:space="0" w:color="auto"/>
            <w:right w:val="none" w:sz="0" w:space="0" w:color="auto"/>
          </w:divBdr>
        </w:div>
        <w:div w:id="544484749">
          <w:marLeft w:val="0"/>
          <w:marRight w:val="0"/>
          <w:marTop w:val="0"/>
          <w:marBottom w:val="0"/>
          <w:divBdr>
            <w:top w:val="none" w:sz="0" w:space="0" w:color="auto"/>
            <w:left w:val="none" w:sz="0" w:space="0" w:color="auto"/>
            <w:bottom w:val="none" w:sz="0" w:space="0" w:color="auto"/>
            <w:right w:val="none" w:sz="0" w:space="0" w:color="auto"/>
          </w:divBdr>
        </w:div>
        <w:div w:id="559946337">
          <w:marLeft w:val="0"/>
          <w:marRight w:val="0"/>
          <w:marTop w:val="0"/>
          <w:marBottom w:val="0"/>
          <w:divBdr>
            <w:top w:val="none" w:sz="0" w:space="0" w:color="auto"/>
            <w:left w:val="none" w:sz="0" w:space="0" w:color="auto"/>
            <w:bottom w:val="none" w:sz="0" w:space="0" w:color="auto"/>
            <w:right w:val="none" w:sz="0" w:space="0" w:color="auto"/>
          </w:divBdr>
        </w:div>
        <w:div w:id="571895566">
          <w:marLeft w:val="0"/>
          <w:marRight w:val="0"/>
          <w:marTop w:val="0"/>
          <w:marBottom w:val="0"/>
          <w:divBdr>
            <w:top w:val="none" w:sz="0" w:space="0" w:color="auto"/>
            <w:left w:val="none" w:sz="0" w:space="0" w:color="auto"/>
            <w:bottom w:val="none" w:sz="0" w:space="0" w:color="auto"/>
            <w:right w:val="none" w:sz="0" w:space="0" w:color="auto"/>
          </w:divBdr>
        </w:div>
        <w:div w:id="609899230">
          <w:marLeft w:val="0"/>
          <w:marRight w:val="0"/>
          <w:marTop w:val="0"/>
          <w:marBottom w:val="0"/>
          <w:divBdr>
            <w:top w:val="none" w:sz="0" w:space="0" w:color="auto"/>
            <w:left w:val="none" w:sz="0" w:space="0" w:color="auto"/>
            <w:bottom w:val="none" w:sz="0" w:space="0" w:color="auto"/>
            <w:right w:val="none" w:sz="0" w:space="0" w:color="auto"/>
          </w:divBdr>
        </w:div>
        <w:div w:id="804659810">
          <w:marLeft w:val="0"/>
          <w:marRight w:val="0"/>
          <w:marTop w:val="0"/>
          <w:marBottom w:val="0"/>
          <w:divBdr>
            <w:top w:val="none" w:sz="0" w:space="0" w:color="auto"/>
            <w:left w:val="none" w:sz="0" w:space="0" w:color="auto"/>
            <w:bottom w:val="none" w:sz="0" w:space="0" w:color="auto"/>
            <w:right w:val="none" w:sz="0" w:space="0" w:color="auto"/>
          </w:divBdr>
        </w:div>
        <w:div w:id="854809923">
          <w:marLeft w:val="0"/>
          <w:marRight w:val="0"/>
          <w:marTop w:val="0"/>
          <w:marBottom w:val="0"/>
          <w:divBdr>
            <w:top w:val="none" w:sz="0" w:space="0" w:color="auto"/>
            <w:left w:val="none" w:sz="0" w:space="0" w:color="auto"/>
            <w:bottom w:val="none" w:sz="0" w:space="0" w:color="auto"/>
            <w:right w:val="none" w:sz="0" w:space="0" w:color="auto"/>
          </w:divBdr>
        </w:div>
        <w:div w:id="996110660">
          <w:marLeft w:val="0"/>
          <w:marRight w:val="0"/>
          <w:marTop w:val="0"/>
          <w:marBottom w:val="0"/>
          <w:divBdr>
            <w:top w:val="none" w:sz="0" w:space="0" w:color="auto"/>
            <w:left w:val="none" w:sz="0" w:space="0" w:color="auto"/>
            <w:bottom w:val="none" w:sz="0" w:space="0" w:color="auto"/>
            <w:right w:val="none" w:sz="0" w:space="0" w:color="auto"/>
          </w:divBdr>
        </w:div>
        <w:div w:id="1178957852">
          <w:marLeft w:val="0"/>
          <w:marRight w:val="0"/>
          <w:marTop w:val="0"/>
          <w:marBottom w:val="0"/>
          <w:divBdr>
            <w:top w:val="none" w:sz="0" w:space="0" w:color="auto"/>
            <w:left w:val="none" w:sz="0" w:space="0" w:color="auto"/>
            <w:bottom w:val="none" w:sz="0" w:space="0" w:color="auto"/>
            <w:right w:val="none" w:sz="0" w:space="0" w:color="auto"/>
          </w:divBdr>
        </w:div>
        <w:div w:id="1200127612">
          <w:marLeft w:val="0"/>
          <w:marRight w:val="0"/>
          <w:marTop w:val="0"/>
          <w:marBottom w:val="0"/>
          <w:divBdr>
            <w:top w:val="none" w:sz="0" w:space="0" w:color="auto"/>
            <w:left w:val="none" w:sz="0" w:space="0" w:color="auto"/>
            <w:bottom w:val="none" w:sz="0" w:space="0" w:color="auto"/>
            <w:right w:val="none" w:sz="0" w:space="0" w:color="auto"/>
          </w:divBdr>
        </w:div>
        <w:div w:id="1208562558">
          <w:marLeft w:val="0"/>
          <w:marRight w:val="0"/>
          <w:marTop w:val="0"/>
          <w:marBottom w:val="0"/>
          <w:divBdr>
            <w:top w:val="none" w:sz="0" w:space="0" w:color="auto"/>
            <w:left w:val="none" w:sz="0" w:space="0" w:color="auto"/>
            <w:bottom w:val="none" w:sz="0" w:space="0" w:color="auto"/>
            <w:right w:val="none" w:sz="0" w:space="0" w:color="auto"/>
          </w:divBdr>
        </w:div>
        <w:div w:id="1259633184">
          <w:marLeft w:val="0"/>
          <w:marRight w:val="0"/>
          <w:marTop w:val="0"/>
          <w:marBottom w:val="0"/>
          <w:divBdr>
            <w:top w:val="none" w:sz="0" w:space="0" w:color="auto"/>
            <w:left w:val="none" w:sz="0" w:space="0" w:color="auto"/>
            <w:bottom w:val="none" w:sz="0" w:space="0" w:color="auto"/>
            <w:right w:val="none" w:sz="0" w:space="0" w:color="auto"/>
          </w:divBdr>
        </w:div>
        <w:div w:id="1538815792">
          <w:marLeft w:val="0"/>
          <w:marRight w:val="0"/>
          <w:marTop w:val="0"/>
          <w:marBottom w:val="0"/>
          <w:divBdr>
            <w:top w:val="none" w:sz="0" w:space="0" w:color="auto"/>
            <w:left w:val="none" w:sz="0" w:space="0" w:color="auto"/>
            <w:bottom w:val="none" w:sz="0" w:space="0" w:color="auto"/>
            <w:right w:val="none" w:sz="0" w:space="0" w:color="auto"/>
          </w:divBdr>
        </w:div>
        <w:div w:id="1542013579">
          <w:marLeft w:val="0"/>
          <w:marRight w:val="0"/>
          <w:marTop w:val="0"/>
          <w:marBottom w:val="0"/>
          <w:divBdr>
            <w:top w:val="none" w:sz="0" w:space="0" w:color="auto"/>
            <w:left w:val="none" w:sz="0" w:space="0" w:color="auto"/>
            <w:bottom w:val="none" w:sz="0" w:space="0" w:color="auto"/>
            <w:right w:val="none" w:sz="0" w:space="0" w:color="auto"/>
          </w:divBdr>
        </w:div>
        <w:div w:id="1725176544">
          <w:marLeft w:val="0"/>
          <w:marRight w:val="0"/>
          <w:marTop w:val="0"/>
          <w:marBottom w:val="0"/>
          <w:divBdr>
            <w:top w:val="none" w:sz="0" w:space="0" w:color="auto"/>
            <w:left w:val="none" w:sz="0" w:space="0" w:color="auto"/>
            <w:bottom w:val="none" w:sz="0" w:space="0" w:color="auto"/>
            <w:right w:val="none" w:sz="0" w:space="0" w:color="auto"/>
          </w:divBdr>
        </w:div>
        <w:div w:id="1737438846">
          <w:marLeft w:val="0"/>
          <w:marRight w:val="0"/>
          <w:marTop w:val="0"/>
          <w:marBottom w:val="0"/>
          <w:divBdr>
            <w:top w:val="none" w:sz="0" w:space="0" w:color="auto"/>
            <w:left w:val="none" w:sz="0" w:space="0" w:color="auto"/>
            <w:bottom w:val="none" w:sz="0" w:space="0" w:color="auto"/>
            <w:right w:val="none" w:sz="0" w:space="0" w:color="auto"/>
          </w:divBdr>
        </w:div>
        <w:div w:id="1833329975">
          <w:marLeft w:val="0"/>
          <w:marRight w:val="0"/>
          <w:marTop w:val="0"/>
          <w:marBottom w:val="0"/>
          <w:divBdr>
            <w:top w:val="none" w:sz="0" w:space="0" w:color="auto"/>
            <w:left w:val="none" w:sz="0" w:space="0" w:color="auto"/>
            <w:bottom w:val="none" w:sz="0" w:space="0" w:color="auto"/>
            <w:right w:val="none" w:sz="0" w:space="0" w:color="auto"/>
          </w:divBdr>
        </w:div>
        <w:div w:id="1852834972">
          <w:marLeft w:val="0"/>
          <w:marRight w:val="0"/>
          <w:marTop w:val="0"/>
          <w:marBottom w:val="0"/>
          <w:divBdr>
            <w:top w:val="none" w:sz="0" w:space="0" w:color="auto"/>
            <w:left w:val="none" w:sz="0" w:space="0" w:color="auto"/>
            <w:bottom w:val="none" w:sz="0" w:space="0" w:color="auto"/>
            <w:right w:val="none" w:sz="0" w:space="0" w:color="auto"/>
          </w:divBdr>
        </w:div>
        <w:div w:id="1886023795">
          <w:marLeft w:val="0"/>
          <w:marRight w:val="0"/>
          <w:marTop w:val="0"/>
          <w:marBottom w:val="0"/>
          <w:divBdr>
            <w:top w:val="none" w:sz="0" w:space="0" w:color="auto"/>
            <w:left w:val="none" w:sz="0" w:space="0" w:color="auto"/>
            <w:bottom w:val="none" w:sz="0" w:space="0" w:color="auto"/>
            <w:right w:val="none" w:sz="0" w:space="0" w:color="auto"/>
          </w:divBdr>
        </w:div>
      </w:divsChild>
    </w:div>
    <w:div w:id="275866048">
      <w:marLeft w:val="0"/>
      <w:marRight w:val="0"/>
      <w:marTop w:val="0"/>
      <w:marBottom w:val="0"/>
      <w:divBdr>
        <w:top w:val="none" w:sz="0" w:space="0" w:color="auto"/>
        <w:left w:val="none" w:sz="0" w:space="0" w:color="auto"/>
        <w:bottom w:val="none" w:sz="0" w:space="0" w:color="auto"/>
        <w:right w:val="none" w:sz="0" w:space="0" w:color="auto"/>
      </w:divBdr>
      <w:divsChild>
        <w:div w:id="523372972">
          <w:marLeft w:val="0"/>
          <w:marRight w:val="0"/>
          <w:marTop w:val="0"/>
          <w:marBottom w:val="0"/>
          <w:divBdr>
            <w:top w:val="none" w:sz="0" w:space="0" w:color="auto"/>
            <w:left w:val="none" w:sz="0" w:space="0" w:color="auto"/>
            <w:bottom w:val="none" w:sz="0" w:space="0" w:color="auto"/>
            <w:right w:val="none" w:sz="0" w:space="0" w:color="auto"/>
          </w:divBdr>
        </w:div>
      </w:divsChild>
    </w:div>
    <w:div w:id="278805021">
      <w:bodyDiv w:val="1"/>
      <w:marLeft w:val="0"/>
      <w:marRight w:val="0"/>
      <w:marTop w:val="0"/>
      <w:marBottom w:val="0"/>
      <w:divBdr>
        <w:top w:val="none" w:sz="0" w:space="0" w:color="auto"/>
        <w:left w:val="none" w:sz="0" w:space="0" w:color="auto"/>
        <w:bottom w:val="none" w:sz="0" w:space="0" w:color="auto"/>
        <w:right w:val="none" w:sz="0" w:space="0" w:color="auto"/>
      </w:divBdr>
    </w:div>
    <w:div w:id="308245666">
      <w:marLeft w:val="0"/>
      <w:marRight w:val="0"/>
      <w:marTop w:val="0"/>
      <w:marBottom w:val="0"/>
      <w:divBdr>
        <w:top w:val="none" w:sz="0" w:space="0" w:color="auto"/>
        <w:left w:val="none" w:sz="0" w:space="0" w:color="auto"/>
        <w:bottom w:val="none" w:sz="0" w:space="0" w:color="auto"/>
        <w:right w:val="none" w:sz="0" w:space="0" w:color="auto"/>
      </w:divBdr>
      <w:divsChild>
        <w:div w:id="1360620735">
          <w:marLeft w:val="0"/>
          <w:marRight w:val="0"/>
          <w:marTop w:val="0"/>
          <w:marBottom w:val="0"/>
          <w:divBdr>
            <w:top w:val="none" w:sz="0" w:space="0" w:color="auto"/>
            <w:left w:val="none" w:sz="0" w:space="0" w:color="auto"/>
            <w:bottom w:val="none" w:sz="0" w:space="0" w:color="auto"/>
            <w:right w:val="none" w:sz="0" w:space="0" w:color="auto"/>
          </w:divBdr>
        </w:div>
      </w:divsChild>
    </w:div>
    <w:div w:id="334697990">
      <w:marLeft w:val="0"/>
      <w:marRight w:val="0"/>
      <w:marTop w:val="0"/>
      <w:marBottom w:val="0"/>
      <w:divBdr>
        <w:top w:val="none" w:sz="0" w:space="0" w:color="auto"/>
        <w:left w:val="none" w:sz="0" w:space="0" w:color="auto"/>
        <w:bottom w:val="none" w:sz="0" w:space="0" w:color="auto"/>
        <w:right w:val="none" w:sz="0" w:space="0" w:color="auto"/>
      </w:divBdr>
      <w:divsChild>
        <w:div w:id="872351985">
          <w:marLeft w:val="0"/>
          <w:marRight w:val="0"/>
          <w:marTop w:val="0"/>
          <w:marBottom w:val="0"/>
          <w:divBdr>
            <w:top w:val="none" w:sz="0" w:space="0" w:color="auto"/>
            <w:left w:val="none" w:sz="0" w:space="0" w:color="auto"/>
            <w:bottom w:val="none" w:sz="0" w:space="0" w:color="auto"/>
            <w:right w:val="none" w:sz="0" w:space="0" w:color="auto"/>
          </w:divBdr>
        </w:div>
      </w:divsChild>
    </w:div>
    <w:div w:id="335617978">
      <w:marLeft w:val="0"/>
      <w:marRight w:val="0"/>
      <w:marTop w:val="0"/>
      <w:marBottom w:val="0"/>
      <w:divBdr>
        <w:top w:val="none" w:sz="0" w:space="0" w:color="auto"/>
        <w:left w:val="none" w:sz="0" w:space="0" w:color="auto"/>
        <w:bottom w:val="none" w:sz="0" w:space="0" w:color="auto"/>
        <w:right w:val="none" w:sz="0" w:space="0" w:color="auto"/>
      </w:divBdr>
      <w:divsChild>
        <w:div w:id="812481295">
          <w:marLeft w:val="0"/>
          <w:marRight w:val="0"/>
          <w:marTop w:val="0"/>
          <w:marBottom w:val="0"/>
          <w:divBdr>
            <w:top w:val="none" w:sz="0" w:space="0" w:color="auto"/>
            <w:left w:val="none" w:sz="0" w:space="0" w:color="auto"/>
            <w:bottom w:val="none" w:sz="0" w:space="0" w:color="auto"/>
            <w:right w:val="none" w:sz="0" w:space="0" w:color="auto"/>
          </w:divBdr>
        </w:div>
      </w:divsChild>
    </w:div>
    <w:div w:id="347874285">
      <w:marLeft w:val="0"/>
      <w:marRight w:val="0"/>
      <w:marTop w:val="0"/>
      <w:marBottom w:val="0"/>
      <w:divBdr>
        <w:top w:val="none" w:sz="0" w:space="0" w:color="auto"/>
        <w:left w:val="none" w:sz="0" w:space="0" w:color="auto"/>
        <w:bottom w:val="none" w:sz="0" w:space="0" w:color="auto"/>
        <w:right w:val="none" w:sz="0" w:space="0" w:color="auto"/>
      </w:divBdr>
      <w:divsChild>
        <w:div w:id="1753351936">
          <w:marLeft w:val="0"/>
          <w:marRight w:val="0"/>
          <w:marTop w:val="0"/>
          <w:marBottom w:val="0"/>
          <w:divBdr>
            <w:top w:val="none" w:sz="0" w:space="0" w:color="auto"/>
            <w:left w:val="none" w:sz="0" w:space="0" w:color="auto"/>
            <w:bottom w:val="none" w:sz="0" w:space="0" w:color="auto"/>
            <w:right w:val="none" w:sz="0" w:space="0" w:color="auto"/>
          </w:divBdr>
        </w:div>
      </w:divsChild>
    </w:div>
    <w:div w:id="355932636">
      <w:marLeft w:val="0"/>
      <w:marRight w:val="0"/>
      <w:marTop w:val="0"/>
      <w:marBottom w:val="0"/>
      <w:divBdr>
        <w:top w:val="none" w:sz="0" w:space="0" w:color="auto"/>
        <w:left w:val="none" w:sz="0" w:space="0" w:color="auto"/>
        <w:bottom w:val="none" w:sz="0" w:space="0" w:color="auto"/>
        <w:right w:val="none" w:sz="0" w:space="0" w:color="auto"/>
      </w:divBdr>
      <w:divsChild>
        <w:div w:id="904101707">
          <w:marLeft w:val="0"/>
          <w:marRight w:val="0"/>
          <w:marTop w:val="0"/>
          <w:marBottom w:val="0"/>
          <w:divBdr>
            <w:top w:val="none" w:sz="0" w:space="0" w:color="auto"/>
            <w:left w:val="none" w:sz="0" w:space="0" w:color="auto"/>
            <w:bottom w:val="none" w:sz="0" w:space="0" w:color="auto"/>
            <w:right w:val="none" w:sz="0" w:space="0" w:color="auto"/>
          </w:divBdr>
        </w:div>
      </w:divsChild>
    </w:div>
    <w:div w:id="365836183">
      <w:marLeft w:val="0"/>
      <w:marRight w:val="0"/>
      <w:marTop w:val="0"/>
      <w:marBottom w:val="0"/>
      <w:divBdr>
        <w:top w:val="none" w:sz="0" w:space="0" w:color="auto"/>
        <w:left w:val="none" w:sz="0" w:space="0" w:color="auto"/>
        <w:bottom w:val="none" w:sz="0" w:space="0" w:color="auto"/>
        <w:right w:val="none" w:sz="0" w:space="0" w:color="auto"/>
      </w:divBdr>
      <w:divsChild>
        <w:div w:id="551772221">
          <w:marLeft w:val="0"/>
          <w:marRight w:val="0"/>
          <w:marTop w:val="0"/>
          <w:marBottom w:val="0"/>
          <w:divBdr>
            <w:top w:val="none" w:sz="0" w:space="0" w:color="auto"/>
            <w:left w:val="none" w:sz="0" w:space="0" w:color="auto"/>
            <w:bottom w:val="none" w:sz="0" w:space="0" w:color="auto"/>
            <w:right w:val="none" w:sz="0" w:space="0" w:color="auto"/>
          </w:divBdr>
        </w:div>
      </w:divsChild>
    </w:div>
    <w:div w:id="370494563">
      <w:bodyDiv w:val="1"/>
      <w:marLeft w:val="0"/>
      <w:marRight w:val="0"/>
      <w:marTop w:val="0"/>
      <w:marBottom w:val="0"/>
      <w:divBdr>
        <w:top w:val="none" w:sz="0" w:space="0" w:color="auto"/>
        <w:left w:val="none" w:sz="0" w:space="0" w:color="auto"/>
        <w:bottom w:val="none" w:sz="0" w:space="0" w:color="auto"/>
        <w:right w:val="none" w:sz="0" w:space="0" w:color="auto"/>
      </w:divBdr>
    </w:div>
    <w:div w:id="372002869">
      <w:marLeft w:val="0"/>
      <w:marRight w:val="0"/>
      <w:marTop w:val="0"/>
      <w:marBottom w:val="0"/>
      <w:divBdr>
        <w:top w:val="none" w:sz="0" w:space="0" w:color="auto"/>
        <w:left w:val="none" w:sz="0" w:space="0" w:color="auto"/>
        <w:bottom w:val="none" w:sz="0" w:space="0" w:color="auto"/>
        <w:right w:val="none" w:sz="0" w:space="0" w:color="auto"/>
      </w:divBdr>
      <w:divsChild>
        <w:div w:id="932860908">
          <w:marLeft w:val="0"/>
          <w:marRight w:val="0"/>
          <w:marTop w:val="0"/>
          <w:marBottom w:val="0"/>
          <w:divBdr>
            <w:top w:val="none" w:sz="0" w:space="0" w:color="auto"/>
            <w:left w:val="none" w:sz="0" w:space="0" w:color="auto"/>
            <w:bottom w:val="none" w:sz="0" w:space="0" w:color="auto"/>
            <w:right w:val="none" w:sz="0" w:space="0" w:color="auto"/>
          </w:divBdr>
        </w:div>
      </w:divsChild>
    </w:div>
    <w:div w:id="385377187">
      <w:marLeft w:val="0"/>
      <w:marRight w:val="0"/>
      <w:marTop w:val="0"/>
      <w:marBottom w:val="0"/>
      <w:divBdr>
        <w:top w:val="none" w:sz="0" w:space="0" w:color="auto"/>
        <w:left w:val="none" w:sz="0" w:space="0" w:color="auto"/>
        <w:bottom w:val="none" w:sz="0" w:space="0" w:color="auto"/>
        <w:right w:val="none" w:sz="0" w:space="0" w:color="auto"/>
      </w:divBdr>
      <w:divsChild>
        <w:div w:id="683551087">
          <w:marLeft w:val="0"/>
          <w:marRight w:val="0"/>
          <w:marTop w:val="0"/>
          <w:marBottom w:val="0"/>
          <w:divBdr>
            <w:top w:val="none" w:sz="0" w:space="0" w:color="auto"/>
            <w:left w:val="none" w:sz="0" w:space="0" w:color="auto"/>
            <w:bottom w:val="none" w:sz="0" w:space="0" w:color="auto"/>
            <w:right w:val="none" w:sz="0" w:space="0" w:color="auto"/>
          </w:divBdr>
        </w:div>
      </w:divsChild>
    </w:div>
    <w:div w:id="449209414">
      <w:marLeft w:val="0"/>
      <w:marRight w:val="0"/>
      <w:marTop w:val="0"/>
      <w:marBottom w:val="0"/>
      <w:divBdr>
        <w:top w:val="none" w:sz="0" w:space="0" w:color="auto"/>
        <w:left w:val="none" w:sz="0" w:space="0" w:color="auto"/>
        <w:bottom w:val="none" w:sz="0" w:space="0" w:color="auto"/>
        <w:right w:val="none" w:sz="0" w:space="0" w:color="auto"/>
      </w:divBdr>
      <w:divsChild>
        <w:div w:id="143275593">
          <w:marLeft w:val="0"/>
          <w:marRight w:val="0"/>
          <w:marTop w:val="0"/>
          <w:marBottom w:val="0"/>
          <w:divBdr>
            <w:top w:val="none" w:sz="0" w:space="0" w:color="auto"/>
            <w:left w:val="none" w:sz="0" w:space="0" w:color="auto"/>
            <w:bottom w:val="none" w:sz="0" w:space="0" w:color="auto"/>
            <w:right w:val="none" w:sz="0" w:space="0" w:color="auto"/>
          </w:divBdr>
        </w:div>
      </w:divsChild>
    </w:div>
    <w:div w:id="494952903">
      <w:marLeft w:val="0"/>
      <w:marRight w:val="0"/>
      <w:marTop w:val="0"/>
      <w:marBottom w:val="0"/>
      <w:divBdr>
        <w:top w:val="none" w:sz="0" w:space="0" w:color="auto"/>
        <w:left w:val="none" w:sz="0" w:space="0" w:color="auto"/>
        <w:bottom w:val="none" w:sz="0" w:space="0" w:color="auto"/>
        <w:right w:val="none" w:sz="0" w:space="0" w:color="auto"/>
      </w:divBdr>
      <w:divsChild>
        <w:div w:id="1583566944">
          <w:marLeft w:val="0"/>
          <w:marRight w:val="0"/>
          <w:marTop w:val="0"/>
          <w:marBottom w:val="0"/>
          <w:divBdr>
            <w:top w:val="none" w:sz="0" w:space="0" w:color="auto"/>
            <w:left w:val="none" w:sz="0" w:space="0" w:color="auto"/>
            <w:bottom w:val="none" w:sz="0" w:space="0" w:color="auto"/>
            <w:right w:val="none" w:sz="0" w:space="0" w:color="auto"/>
          </w:divBdr>
        </w:div>
      </w:divsChild>
    </w:div>
    <w:div w:id="529341905">
      <w:bodyDiv w:val="1"/>
      <w:marLeft w:val="0"/>
      <w:marRight w:val="0"/>
      <w:marTop w:val="0"/>
      <w:marBottom w:val="0"/>
      <w:divBdr>
        <w:top w:val="none" w:sz="0" w:space="0" w:color="auto"/>
        <w:left w:val="none" w:sz="0" w:space="0" w:color="auto"/>
        <w:bottom w:val="none" w:sz="0" w:space="0" w:color="auto"/>
        <w:right w:val="none" w:sz="0" w:space="0" w:color="auto"/>
      </w:divBdr>
      <w:divsChild>
        <w:div w:id="99036221">
          <w:marLeft w:val="0"/>
          <w:marRight w:val="0"/>
          <w:marTop w:val="0"/>
          <w:marBottom w:val="0"/>
          <w:divBdr>
            <w:top w:val="none" w:sz="0" w:space="0" w:color="auto"/>
            <w:left w:val="none" w:sz="0" w:space="0" w:color="auto"/>
            <w:bottom w:val="none" w:sz="0" w:space="0" w:color="auto"/>
            <w:right w:val="none" w:sz="0" w:space="0" w:color="auto"/>
          </w:divBdr>
        </w:div>
        <w:div w:id="126094373">
          <w:marLeft w:val="0"/>
          <w:marRight w:val="0"/>
          <w:marTop w:val="0"/>
          <w:marBottom w:val="0"/>
          <w:divBdr>
            <w:top w:val="none" w:sz="0" w:space="0" w:color="auto"/>
            <w:left w:val="none" w:sz="0" w:space="0" w:color="auto"/>
            <w:bottom w:val="none" w:sz="0" w:space="0" w:color="auto"/>
            <w:right w:val="none" w:sz="0" w:space="0" w:color="auto"/>
          </w:divBdr>
        </w:div>
        <w:div w:id="197813674">
          <w:marLeft w:val="0"/>
          <w:marRight w:val="0"/>
          <w:marTop w:val="0"/>
          <w:marBottom w:val="0"/>
          <w:divBdr>
            <w:top w:val="none" w:sz="0" w:space="0" w:color="auto"/>
            <w:left w:val="none" w:sz="0" w:space="0" w:color="auto"/>
            <w:bottom w:val="none" w:sz="0" w:space="0" w:color="auto"/>
            <w:right w:val="none" w:sz="0" w:space="0" w:color="auto"/>
          </w:divBdr>
        </w:div>
        <w:div w:id="382367507">
          <w:marLeft w:val="0"/>
          <w:marRight w:val="0"/>
          <w:marTop w:val="0"/>
          <w:marBottom w:val="0"/>
          <w:divBdr>
            <w:top w:val="none" w:sz="0" w:space="0" w:color="auto"/>
            <w:left w:val="none" w:sz="0" w:space="0" w:color="auto"/>
            <w:bottom w:val="none" w:sz="0" w:space="0" w:color="auto"/>
            <w:right w:val="none" w:sz="0" w:space="0" w:color="auto"/>
          </w:divBdr>
        </w:div>
        <w:div w:id="510492564">
          <w:marLeft w:val="0"/>
          <w:marRight w:val="0"/>
          <w:marTop w:val="0"/>
          <w:marBottom w:val="0"/>
          <w:divBdr>
            <w:top w:val="none" w:sz="0" w:space="0" w:color="auto"/>
            <w:left w:val="none" w:sz="0" w:space="0" w:color="auto"/>
            <w:bottom w:val="none" w:sz="0" w:space="0" w:color="auto"/>
            <w:right w:val="none" w:sz="0" w:space="0" w:color="auto"/>
          </w:divBdr>
        </w:div>
        <w:div w:id="540897209">
          <w:marLeft w:val="0"/>
          <w:marRight w:val="0"/>
          <w:marTop w:val="0"/>
          <w:marBottom w:val="0"/>
          <w:divBdr>
            <w:top w:val="none" w:sz="0" w:space="0" w:color="auto"/>
            <w:left w:val="none" w:sz="0" w:space="0" w:color="auto"/>
            <w:bottom w:val="none" w:sz="0" w:space="0" w:color="auto"/>
            <w:right w:val="none" w:sz="0" w:space="0" w:color="auto"/>
          </w:divBdr>
        </w:div>
        <w:div w:id="652872031">
          <w:marLeft w:val="0"/>
          <w:marRight w:val="0"/>
          <w:marTop w:val="0"/>
          <w:marBottom w:val="0"/>
          <w:divBdr>
            <w:top w:val="none" w:sz="0" w:space="0" w:color="auto"/>
            <w:left w:val="none" w:sz="0" w:space="0" w:color="auto"/>
            <w:bottom w:val="none" w:sz="0" w:space="0" w:color="auto"/>
            <w:right w:val="none" w:sz="0" w:space="0" w:color="auto"/>
          </w:divBdr>
        </w:div>
        <w:div w:id="796291300">
          <w:marLeft w:val="0"/>
          <w:marRight w:val="0"/>
          <w:marTop w:val="0"/>
          <w:marBottom w:val="0"/>
          <w:divBdr>
            <w:top w:val="none" w:sz="0" w:space="0" w:color="auto"/>
            <w:left w:val="none" w:sz="0" w:space="0" w:color="auto"/>
            <w:bottom w:val="none" w:sz="0" w:space="0" w:color="auto"/>
            <w:right w:val="none" w:sz="0" w:space="0" w:color="auto"/>
          </w:divBdr>
        </w:div>
        <w:div w:id="956254218">
          <w:marLeft w:val="0"/>
          <w:marRight w:val="0"/>
          <w:marTop w:val="0"/>
          <w:marBottom w:val="0"/>
          <w:divBdr>
            <w:top w:val="none" w:sz="0" w:space="0" w:color="auto"/>
            <w:left w:val="none" w:sz="0" w:space="0" w:color="auto"/>
            <w:bottom w:val="none" w:sz="0" w:space="0" w:color="auto"/>
            <w:right w:val="none" w:sz="0" w:space="0" w:color="auto"/>
          </w:divBdr>
        </w:div>
        <w:div w:id="1068504029">
          <w:marLeft w:val="0"/>
          <w:marRight w:val="0"/>
          <w:marTop w:val="0"/>
          <w:marBottom w:val="0"/>
          <w:divBdr>
            <w:top w:val="none" w:sz="0" w:space="0" w:color="auto"/>
            <w:left w:val="none" w:sz="0" w:space="0" w:color="auto"/>
            <w:bottom w:val="none" w:sz="0" w:space="0" w:color="auto"/>
            <w:right w:val="none" w:sz="0" w:space="0" w:color="auto"/>
          </w:divBdr>
        </w:div>
        <w:div w:id="1104493539">
          <w:marLeft w:val="0"/>
          <w:marRight w:val="0"/>
          <w:marTop w:val="0"/>
          <w:marBottom w:val="0"/>
          <w:divBdr>
            <w:top w:val="none" w:sz="0" w:space="0" w:color="auto"/>
            <w:left w:val="none" w:sz="0" w:space="0" w:color="auto"/>
            <w:bottom w:val="none" w:sz="0" w:space="0" w:color="auto"/>
            <w:right w:val="none" w:sz="0" w:space="0" w:color="auto"/>
          </w:divBdr>
        </w:div>
        <w:div w:id="1198860506">
          <w:marLeft w:val="0"/>
          <w:marRight w:val="0"/>
          <w:marTop w:val="0"/>
          <w:marBottom w:val="0"/>
          <w:divBdr>
            <w:top w:val="none" w:sz="0" w:space="0" w:color="auto"/>
            <w:left w:val="none" w:sz="0" w:space="0" w:color="auto"/>
            <w:bottom w:val="none" w:sz="0" w:space="0" w:color="auto"/>
            <w:right w:val="none" w:sz="0" w:space="0" w:color="auto"/>
          </w:divBdr>
        </w:div>
        <w:div w:id="1274746500">
          <w:marLeft w:val="0"/>
          <w:marRight w:val="0"/>
          <w:marTop w:val="0"/>
          <w:marBottom w:val="0"/>
          <w:divBdr>
            <w:top w:val="none" w:sz="0" w:space="0" w:color="auto"/>
            <w:left w:val="none" w:sz="0" w:space="0" w:color="auto"/>
            <w:bottom w:val="none" w:sz="0" w:space="0" w:color="auto"/>
            <w:right w:val="none" w:sz="0" w:space="0" w:color="auto"/>
          </w:divBdr>
        </w:div>
        <w:div w:id="1563443765">
          <w:marLeft w:val="0"/>
          <w:marRight w:val="0"/>
          <w:marTop w:val="0"/>
          <w:marBottom w:val="0"/>
          <w:divBdr>
            <w:top w:val="none" w:sz="0" w:space="0" w:color="auto"/>
            <w:left w:val="none" w:sz="0" w:space="0" w:color="auto"/>
            <w:bottom w:val="none" w:sz="0" w:space="0" w:color="auto"/>
            <w:right w:val="none" w:sz="0" w:space="0" w:color="auto"/>
          </w:divBdr>
        </w:div>
        <w:div w:id="1566447772">
          <w:marLeft w:val="0"/>
          <w:marRight w:val="0"/>
          <w:marTop w:val="0"/>
          <w:marBottom w:val="0"/>
          <w:divBdr>
            <w:top w:val="none" w:sz="0" w:space="0" w:color="auto"/>
            <w:left w:val="none" w:sz="0" w:space="0" w:color="auto"/>
            <w:bottom w:val="none" w:sz="0" w:space="0" w:color="auto"/>
            <w:right w:val="none" w:sz="0" w:space="0" w:color="auto"/>
          </w:divBdr>
        </w:div>
        <w:div w:id="1592158178">
          <w:marLeft w:val="0"/>
          <w:marRight w:val="0"/>
          <w:marTop w:val="0"/>
          <w:marBottom w:val="0"/>
          <w:divBdr>
            <w:top w:val="none" w:sz="0" w:space="0" w:color="auto"/>
            <w:left w:val="none" w:sz="0" w:space="0" w:color="auto"/>
            <w:bottom w:val="none" w:sz="0" w:space="0" w:color="auto"/>
            <w:right w:val="none" w:sz="0" w:space="0" w:color="auto"/>
          </w:divBdr>
        </w:div>
        <w:div w:id="1656761463">
          <w:marLeft w:val="0"/>
          <w:marRight w:val="0"/>
          <w:marTop w:val="0"/>
          <w:marBottom w:val="0"/>
          <w:divBdr>
            <w:top w:val="none" w:sz="0" w:space="0" w:color="auto"/>
            <w:left w:val="none" w:sz="0" w:space="0" w:color="auto"/>
            <w:bottom w:val="none" w:sz="0" w:space="0" w:color="auto"/>
            <w:right w:val="none" w:sz="0" w:space="0" w:color="auto"/>
          </w:divBdr>
        </w:div>
        <w:div w:id="1741512218">
          <w:marLeft w:val="0"/>
          <w:marRight w:val="0"/>
          <w:marTop w:val="0"/>
          <w:marBottom w:val="0"/>
          <w:divBdr>
            <w:top w:val="none" w:sz="0" w:space="0" w:color="auto"/>
            <w:left w:val="none" w:sz="0" w:space="0" w:color="auto"/>
            <w:bottom w:val="none" w:sz="0" w:space="0" w:color="auto"/>
            <w:right w:val="none" w:sz="0" w:space="0" w:color="auto"/>
          </w:divBdr>
        </w:div>
        <w:div w:id="1971981862">
          <w:marLeft w:val="0"/>
          <w:marRight w:val="0"/>
          <w:marTop w:val="0"/>
          <w:marBottom w:val="0"/>
          <w:divBdr>
            <w:top w:val="none" w:sz="0" w:space="0" w:color="auto"/>
            <w:left w:val="none" w:sz="0" w:space="0" w:color="auto"/>
            <w:bottom w:val="none" w:sz="0" w:space="0" w:color="auto"/>
            <w:right w:val="none" w:sz="0" w:space="0" w:color="auto"/>
          </w:divBdr>
        </w:div>
        <w:div w:id="2049989572">
          <w:marLeft w:val="0"/>
          <w:marRight w:val="0"/>
          <w:marTop w:val="0"/>
          <w:marBottom w:val="0"/>
          <w:divBdr>
            <w:top w:val="none" w:sz="0" w:space="0" w:color="auto"/>
            <w:left w:val="none" w:sz="0" w:space="0" w:color="auto"/>
            <w:bottom w:val="none" w:sz="0" w:space="0" w:color="auto"/>
            <w:right w:val="none" w:sz="0" w:space="0" w:color="auto"/>
          </w:divBdr>
        </w:div>
        <w:div w:id="2078746086">
          <w:marLeft w:val="0"/>
          <w:marRight w:val="0"/>
          <w:marTop w:val="0"/>
          <w:marBottom w:val="0"/>
          <w:divBdr>
            <w:top w:val="none" w:sz="0" w:space="0" w:color="auto"/>
            <w:left w:val="none" w:sz="0" w:space="0" w:color="auto"/>
            <w:bottom w:val="none" w:sz="0" w:space="0" w:color="auto"/>
            <w:right w:val="none" w:sz="0" w:space="0" w:color="auto"/>
          </w:divBdr>
        </w:div>
        <w:div w:id="2084376572">
          <w:marLeft w:val="0"/>
          <w:marRight w:val="0"/>
          <w:marTop w:val="0"/>
          <w:marBottom w:val="0"/>
          <w:divBdr>
            <w:top w:val="none" w:sz="0" w:space="0" w:color="auto"/>
            <w:left w:val="none" w:sz="0" w:space="0" w:color="auto"/>
            <w:bottom w:val="none" w:sz="0" w:space="0" w:color="auto"/>
            <w:right w:val="none" w:sz="0" w:space="0" w:color="auto"/>
          </w:divBdr>
        </w:div>
      </w:divsChild>
    </w:div>
    <w:div w:id="533273746">
      <w:marLeft w:val="0"/>
      <w:marRight w:val="0"/>
      <w:marTop w:val="0"/>
      <w:marBottom w:val="0"/>
      <w:divBdr>
        <w:top w:val="none" w:sz="0" w:space="0" w:color="auto"/>
        <w:left w:val="none" w:sz="0" w:space="0" w:color="auto"/>
        <w:bottom w:val="none" w:sz="0" w:space="0" w:color="auto"/>
        <w:right w:val="none" w:sz="0" w:space="0" w:color="auto"/>
      </w:divBdr>
      <w:divsChild>
        <w:div w:id="26031789">
          <w:marLeft w:val="0"/>
          <w:marRight w:val="0"/>
          <w:marTop w:val="0"/>
          <w:marBottom w:val="0"/>
          <w:divBdr>
            <w:top w:val="none" w:sz="0" w:space="0" w:color="auto"/>
            <w:left w:val="none" w:sz="0" w:space="0" w:color="auto"/>
            <w:bottom w:val="none" w:sz="0" w:space="0" w:color="auto"/>
            <w:right w:val="none" w:sz="0" w:space="0" w:color="auto"/>
          </w:divBdr>
        </w:div>
      </w:divsChild>
    </w:div>
    <w:div w:id="559049788">
      <w:marLeft w:val="0"/>
      <w:marRight w:val="0"/>
      <w:marTop w:val="0"/>
      <w:marBottom w:val="0"/>
      <w:divBdr>
        <w:top w:val="none" w:sz="0" w:space="0" w:color="auto"/>
        <w:left w:val="none" w:sz="0" w:space="0" w:color="auto"/>
        <w:bottom w:val="none" w:sz="0" w:space="0" w:color="auto"/>
        <w:right w:val="none" w:sz="0" w:space="0" w:color="auto"/>
      </w:divBdr>
      <w:divsChild>
        <w:div w:id="939337905">
          <w:marLeft w:val="0"/>
          <w:marRight w:val="0"/>
          <w:marTop w:val="0"/>
          <w:marBottom w:val="0"/>
          <w:divBdr>
            <w:top w:val="none" w:sz="0" w:space="0" w:color="auto"/>
            <w:left w:val="none" w:sz="0" w:space="0" w:color="auto"/>
            <w:bottom w:val="none" w:sz="0" w:space="0" w:color="auto"/>
            <w:right w:val="none" w:sz="0" w:space="0" w:color="auto"/>
          </w:divBdr>
        </w:div>
      </w:divsChild>
    </w:div>
    <w:div w:id="615336779">
      <w:marLeft w:val="0"/>
      <w:marRight w:val="0"/>
      <w:marTop w:val="0"/>
      <w:marBottom w:val="0"/>
      <w:divBdr>
        <w:top w:val="none" w:sz="0" w:space="0" w:color="auto"/>
        <w:left w:val="none" w:sz="0" w:space="0" w:color="auto"/>
        <w:bottom w:val="none" w:sz="0" w:space="0" w:color="auto"/>
        <w:right w:val="none" w:sz="0" w:space="0" w:color="auto"/>
      </w:divBdr>
      <w:divsChild>
        <w:div w:id="1586449564">
          <w:marLeft w:val="0"/>
          <w:marRight w:val="0"/>
          <w:marTop w:val="0"/>
          <w:marBottom w:val="0"/>
          <w:divBdr>
            <w:top w:val="none" w:sz="0" w:space="0" w:color="auto"/>
            <w:left w:val="none" w:sz="0" w:space="0" w:color="auto"/>
            <w:bottom w:val="none" w:sz="0" w:space="0" w:color="auto"/>
            <w:right w:val="none" w:sz="0" w:space="0" w:color="auto"/>
          </w:divBdr>
        </w:div>
      </w:divsChild>
    </w:div>
    <w:div w:id="631864286">
      <w:marLeft w:val="0"/>
      <w:marRight w:val="0"/>
      <w:marTop w:val="0"/>
      <w:marBottom w:val="0"/>
      <w:divBdr>
        <w:top w:val="none" w:sz="0" w:space="0" w:color="auto"/>
        <w:left w:val="none" w:sz="0" w:space="0" w:color="auto"/>
        <w:bottom w:val="none" w:sz="0" w:space="0" w:color="auto"/>
        <w:right w:val="none" w:sz="0" w:space="0" w:color="auto"/>
      </w:divBdr>
      <w:divsChild>
        <w:div w:id="2061132211">
          <w:marLeft w:val="0"/>
          <w:marRight w:val="0"/>
          <w:marTop w:val="0"/>
          <w:marBottom w:val="0"/>
          <w:divBdr>
            <w:top w:val="none" w:sz="0" w:space="0" w:color="auto"/>
            <w:left w:val="none" w:sz="0" w:space="0" w:color="auto"/>
            <w:bottom w:val="none" w:sz="0" w:space="0" w:color="auto"/>
            <w:right w:val="none" w:sz="0" w:space="0" w:color="auto"/>
          </w:divBdr>
        </w:div>
      </w:divsChild>
    </w:div>
    <w:div w:id="683825841">
      <w:marLeft w:val="0"/>
      <w:marRight w:val="0"/>
      <w:marTop w:val="0"/>
      <w:marBottom w:val="0"/>
      <w:divBdr>
        <w:top w:val="none" w:sz="0" w:space="0" w:color="auto"/>
        <w:left w:val="none" w:sz="0" w:space="0" w:color="auto"/>
        <w:bottom w:val="none" w:sz="0" w:space="0" w:color="auto"/>
        <w:right w:val="none" w:sz="0" w:space="0" w:color="auto"/>
      </w:divBdr>
      <w:divsChild>
        <w:div w:id="167720324">
          <w:marLeft w:val="0"/>
          <w:marRight w:val="0"/>
          <w:marTop w:val="0"/>
          <w:marBottom w:val="0"/>
          <w:divBdr>
            <w:top w:val="none" w:sz="0" w:space="0" w:color="auto"/>
            <w:left w:val="none" w:sz="0" w:space="0" w:color="auto"/>
            <w:bottom w:val="none" w:sz="0" w:space="0" w:color="auto"/>
            <w:right w:val="none" w:sz="0" w:space="0" w:color="auto"/>
          </w:divBdr>
        </w:div>
      </w:divsChild>
    </w:div>
    <w:div w:id="725448670">
      <w:marLeft w:val="0"/>
      <w:marRight w:val="0"/>
      <w:marTop w:val="0"/>
      <w:marBottom w:val="0"/>
      <w:divBdr>
        <w:top w:val="none" w:sz="0" w:space="0" w:color="auto"/>
        <w:left w:val="none" w:sz="0" w:space="0" w:color="auto"/>
        <w:bottom w:val="none" w:sz="0" w:space="0" w:color="auto"/>
        <w:right w:val="none" w:sz="0" w:space="0" w:color="auto"/>
      </w:divBdr>
      <w:divsChild>
        <w:div w:id="43333960">
          <w:marLeft w:val="0"/>
          <w:marRight w:val="0"/>
          <w:marTop w:val="0"/>
          <w:marBottom w:val="0"/>
          <w:divBdr>
            <w:top w:val="none" w:sz="0" w:space="0" w:color="auto"/>
            <w:left w:val="none" w:sz="0" w:space="0" w:color="auto"/>
            <w:bottom w:val="none" w:sz="0" w:space="0" w:color="auto"/>
            <w:right w:val="none" w:sz="0" w:space="0" w:color="auto"/>
          </w:divBdr>
        </w:div>
      </w:divsChild>
    </w:div>
    <w:div w:id="730886871">
      <w:marLeft w:val="0"/>
      <w:marRight w:val="0"/>
      <w:marTop w:val="0"/>
      <w:marBottom w:val="0"/>
      <w:divBdr>
        <w:top w:val="none" w:sz="0" w:space="0" w:color="auto"/>
        <w:left w:val="none" w:sz="0" w:space="0" w:color="auto"/>
        <w:bottom w:val="none" w:sz="0" w:space="0" w:color="auto"/>
        <w:right w:val="none" w:sz="0" w:space="0" w:color="auto"/>
      </w:divBdr>
      <w:divsChild>
        <w:div w:id="1852377640">
          <w:marLeft w:val="0"/>
          <w:marRight w:val="0"/>
          <w:marTop w:val="0"/>
          <w:marBottom w:val="0"/>
          <w:divBdr>
            <w:top w:val="none" w:sz="0" w:space="0" w:color="auto"/>
            <w:left w:val="none" w:sz="0" w:space="0" w:color="auto"/>
            <w:bottom w:val="none" w:sz="0" w:space="0" w:color="auto"/>
            <w:right w:val="none" w:sz="0" w:space="0" w:color="auto"/>
          </w:divBdr>
        </w:div>
      </w:divsChild>
    </w:div>
    <w:div w:id="749933113">
      <w:marLeft w:val="0"/>
      <w:marRight w:val="0"/>
      <w:marTop w:val="0"/>
      <w:marBottom w:val="0"/>
      <w:divBdr>
        <w:top w:val="none" w:sz="0" w:space="0" w:color="auto"/>
        <w:left w:val="none" w:sz="0" w:space="0" w:color="auto"/>
        <w:bottom w:val="none" w:sz="0" w:space="0" w:color="auto"/>
        <w:right w:val="none" w:sz="0" w:space="0" w:color="auto"/>
      </w:divBdr>
      <w:divsChild>
        <w:div w:id="1850757263">
          <w:marLeft w:val="0"/>
          <w:marRight w:val="0"/>
          <w:marTop w:val="0"/>
          <w:marBottom w:val="0"/>
          <w:divBdr>
            <w:top w:val="none" w:sz="0" w:space="0" w:color="auto"/>
            <w:left w:val="none" w:sz="0" w:space="0" w:color="auto"/>
            <w:bottom w:val="none" w:sz="0" w:space="0" w:color="auto"/>
            <w:right w:val="none" w:sz="0" w:space="0" w:color="auto"/>
          </w:divBdr>
        </w:div>
      </w:divsChild>
    </w:div>
    <w:div w:id="750468600">
      <w:marLeft w:val="0"/>
      <w:marRight w:val="0"/>
      <w:marTop w:val="0"/>
      <w:marBottom w:val="0"/>
      <w:divBdr>
        <w:top w:val="none" w:sz="0" w:space="0" w:color="auto"/>
        <w:left w:val="none" w:sz="0" w:space="0" w:color="auto"/>
        <w:bottom w:val="none" w:sz="0" w:space="0" w:color="auto"/>
        <w:right w:val="none" w:sz="0" w:space="0" w:color="auto"/>
      </w:divBdr>
      <w:divsChild>
        <w:div w:id="1205218815">
          <w:marLeft w:val="0"/>
          <w:marRight w:val="0"/>
          <w:marTop w:val="0"/>
          <w:marBottom w:val="0"/>
          <w:divBdr>
            <w:top w:val="none" w:sz="0" w:space="0" w:color="auto"/>
            <w:left w:val="none" w:sz="0" w:space="0" w:color="auto"/>
            <w:bottom w:val="none" w:sz="0" w:space="0" w:color="auto"/>
            <w:right w:val="none" w:sz="0" w:space="0" w:color="auto"/>
          </w:divBdr>
        </w:div>
      </w:divsChild>
    </w:div>
    <w:div w:id="764888128">
      <w:marLeft w:val="0"/>
      <w:marRight w:val="0"/>
      <w:marTop w:val="0"/>
      <w:marBottom w:val="0"/>
      <w:divBdr>
        <w:top w:val="none" w:sz="0" w:space="0" w:color="auto"/>
        <w:left w:val="none" w:sz="0" w:space="0" w:color="auto"/>
        <w:bottom w:val="none" w:sz="0" w:space="0" w:color="auto"/>
        <w:right w:val="none" w:sz="0" w:space="0" w:color="auto"/>
      </w:divBdr>
      <w:divsChild>
        <w:div w:id="1044673342">
          <w:marLeft w:val="0"/>
          <w:marRight w:val="0"/>
          <w:marTop w:val="0"/>
          <w:marBottom w:val="0"/>
          <w:divBdr>
            <w:top w:val="none" w:sz="0" w:space="0" w:color="auto"/>
            <w:left w:val="none" w:sz="0" w:space="0" w:color="auto"/>
            <w:bottom w:val="none" w:sz="0" w:space="0" w:color="auto"/>
            <w:right w:val="none" w:sz="0" w:space="0" w:color="auto"/>
          </w:divBdr>
        </w:div>
      </w:divsChild>
    </w:div>
    <w:div w:id="777260745">
      <w:marLeft w:val="0"/>
      <w:marRight w:val="0"/>
      <w:marTop w:val="0"/>
      <w:marBottom w:val="0"/>
      <w:divBdr>
        <w:top w:val="none" w:sz="0" w:space="0" w:color="auto"/>
        <w:left w:val="none" w:sz="0" w:space="0" w:color="auto"/>
        <w:bottom w:val="none" w:sz="0" w:space="0" w:color="auto"/>
        <w:right w:val="none" w:sz="0" w:space="0" w:color="auto"/>
      </w:divBdr>
      <w:divsChild>
        <w:div w:id="2129546533">
          <w:marLeft w:val="0"/>
          <w:marRight w:val="0"/>
          <w:marTop w:val="0"/>
          <w:marBottom w:val="0"/>
          <w:divBdr>
            <w:top w:val="none" w:sz="0" w:space="0" w:color="auto"/>
            <w:left w:val="none" w:sz="0" w:space="0" w:color="auto"/>
            <w:bottom w:val="none" w:sz="0" w:space="0" w:color="auto"/>
            <w:right w:val="none" w:sz="0" w:space="0" w:color="auto"/>
          </w:divBdr>
        </w:div>
      </w:divsChild>
    </w:div>
    <w:div w:id="788861424">
      <w:marLeft w:val="0"/>
      <w:marRight w:val="0"/>
      <w:marTop w:val="0"/>
      <w:marBottom w:val="0"/>
      <w:divBdr>
        <w:top w:val="none" w:sz="0" w:space="0" w:color="auto"/>
        <w:left w:val="none" w:sz="0" w:space="0" w:color="auto"/>
        <w:bottom w:val="none" w:sz="0" w:space="0" w:color="auto"/>
        <w:right w:val="none" w:sz="0" w:space="0" w:color="auto"/>
      </w:divBdr>
      <w:divsChild>
        <w:div w:id="579291412">
          <w:marLeft w:val="0"/>
          <w:marRight w:val="0"/>
          <w:marTop w:val="0"/>
          <w:marBottom w:val="0"/>
          <w:divBdr>
            <w:top w:val="none" w:sz="0" w:space="0" w:color="auto"/>
            <w:left w:val="none" w:sz="0" w:space="0" w:color="auto"/>
            <w:bottom w:val="none" w:sz="0" w:space="0" w:color="auto"/>
            <w:right w:val="none" w:sz="0" w:space="0" w:color="auto"/>
          </w:divBdr>
        </w:div>
      </w:divsChild>
    </w:div>
    <w:div w:id="814956548">
      <w:marLeft w:val="0"/>
      <w:marRight w:val="0"/>
      <w:marTop w:val="0"/>
      <w:marBottom w:val="0"/>
      <w:divBdr>
        <w:top w:val="none" w:sz="0" w:space="0" w:color="auto"/>
        <w:left w:val="none" w:sz="0" w:space="0" w:color="auto"/>
        <w:bottom w:val="none" w:sz="0" w:space="0" w:color="auto"/>
        <w:right w:val="none" w:sz="0" w:space="0" w:color="auto"/>
      </w:divBdr>
      <w:divsChild>
        <w:div w:id="444813379">
          <w:marLeft w:val="0"/>
          <w:marRight w:val="0"/>
          <w:marTop w:val="0"/>
          <w:marBottom w:val="0"/>
          <w:divBdr>
            <w:top w:val="none" w:sz="0" w:space="0" w:color="auto"/>
            <w:left w:val="none" w:sz="0" w:space="0" w:color="auto"/>
            <w:bottom w:val="none" w:sz="0" w:space="0" w:color="auto"/>
            <w:right w:val="none" w:sz="0" w:space="0" w:color="auto"/>
          </w:divBdr>
        </w:div>
      </w:divsChild>
    </w:div>
    <w:div w:id="820194760">
      <w:marLeft w:val="0"/>
      <w:marRight w:val="0"/>
      <w:marTop w:val="0"/>
      <w:marBottom w:val="0"/>
      <w:divBdr>
        <w:top w:val="none" w:sz="0" w:space="0" w:color="auto"/>
        <w:left w:val="none" w:sz="0" w:space="0" w:color="auto"/>
        <w:bottom w:val="none" w:sz="0" w:space="0" w:color="auto"/>
        <w:right w:val="none" w:sz="0" w:space="0" w:color="auto"/>
      </w:divBdr>
      <w:divsChild>
        <w:div w:id="1763914363">
          <w:marLeft w:val="0"/>
          <w:marRight w:val="0"/>
          <w:marTop w:val="0"/>
          <w:marBottom w:val="0"/>
          <w:divBdr>
            <w:top w:val="none" w:sz="0" w:space="0" w:color="auto"/>
            <w:left w:val="none" w:sz="0" w:space="0" w:color="auto"/>
            <w:bottom w:val="none" w:sz="0" w:space="0" w:color="auto"/>
            <w:right w:val="none" w:sz="0" w:space="0" w:color="auto"/>
          </w:divBdr>
        </w:div>
      </w:divsChild>
    </w:div>
    <w:div w:id="874345709">
      <w:bodyDiv w:val="1"/>
      <w:marLeft w:val="0"/>
      <w:marRight w:val="0"/>
      <w:marTop w:val="0"/>
      <w:marBottom w:val="0"/>
      <w:divBdr>
        <w:top w:val="none" w:sz="0" w:space="0" w:color="auto"/>
        <w:left w:val="none" w:sz="0" w:space="0" w:color="auto"/>
        <w:bottom w:val="none" w:sz="0" w:space="0" w:color="auto"/>
        <w:right w:val="none" w:sz="0" w:space="0" w:color="auto"/>
      </w:divBdr>
      <w:divsChild>
        <w:div w:id="211507144">
          <w:marLeft w:val="0"/>
          <w:marRight w:val="0"/>
          <w:marTop w:val="0"/>
          <w:marBottom w:val="0"/>
          <w:divBdr>
            <w:top w:val="none" w:sz="0" w:space="0" w:color="auto"/>
            <w:left w:val="none" w:sz="0" w:space="0" w:color="auto"/>
            <w:bottom w:val="none" w:sz="0" w:space="0" w:color="auto"/>
            <w:right w:val="none" w:sz="0" w:space="0" w:color="auto"/>
          </w:divBdr>
        </w:div>
        <w:div w:id="1146510704">
          <w:marLeft w:val="0"/>
          <w:marRight w:val="0"/>
          <w:marTop w:val="0"/>
          <w:marBottom w:val="0"/>
          <w:divBdr>
            <w:top w:val="none" w:sz="0" w:space="0" w:color="auto"/>
            <w:left w:val="none" w:sz="0" w:space="0" w:color="auto"/>
            <w:bottom w:val="none" w:sz="0" w:space="0" w:color="auto"/>
            <w:right w:val="none" w:sz="0" w:space="0" w:color="auto"/>
          </w:divBdr>
        </w:div>
      </w:divsChild>
    </w:div>
    <w:div w:id="880896936">
      <w:marLeft w:val="0"/>
      <w:marRight w:val="0"/>
      <w:marTop w:val="0"/>
      <w:marBottom w:val="0"/>
      <w:divBdr>
        <w:top w:val="none" w:sz="0" w:space="0" w:color="auto"/>
        <w:left w:val="none" w:sz="0" w:space="0" w:color="auto"/>
        <w:bottom w:val="none" w:sz="0" w:space="0" w:color="auto"/>
        <w:right w:val="none" w:sz="0" w:space="0" w:color="auto"/>
      </w:divBdr>
      <w:divsChild>
        <w:div w:id="1803647273">
          <w:marLeft w:val="0"/>
          <w:marRight w:val="0"/>
          <w:marTop w:val="0"/>
          <w:marBottom w:val="0"/>
          <w:divBdr>
            <w:top w:val="none" w:sz="0" w:space="0" w:color="auto"/>
            <w:left w:val="none" w:sz="0" w:space="0" w:color="auto"/>
            <w:bottom w:val="none" w:sz="0" w:space="0" w:color="auto"/>
            <w:right w:val="none" w:sz="0" w:space="0" w:color="auto"/>
          </w:divBdr>
        </w:div>
      </w:divsChild>
    </w:div>
    <w:div w:id="893082553">
      <w:marLeft w:val="0"/>
      <w:marRight w:val="0"/>
      <w:marTop w:val="0"/>
      <w:marBottom w:val="0"/>
      <w:divBdr>
        <w:top w:val="none" w:sz="0" w:space="0" w:color="auto"/>
        <w:left w:val="none" w:sz="0" w:space="0" w:color="auto"/>
        <w:bottom w:val="none" w:sz="0" w:space="0" w:color="auto"/>
        <w:right w:val="none" w:sz="0" w:space="0" w:color="auto"/>
      </w:divBdr>
      <w:divsChild>
        <w:div w:id="1745880256">
          <w:marLeft w:val="0"/>
          <w:marRight w:val="0"/>
          <w:marTop w:val="0"/>
          <w:marBottom w:val="0"/>
          <w:divBdr>
            <w:top w:val="none" w:sz="0" w:space="0" w:color="auto"/>
            <w:left w:val="none" w:sz="0" w:space="0" w:color="auto"/>
            <w:bottom w:val="none" w:sz="0" w:space="0" w:color="auto"/>
            <w:right w:val="none" w:sz="0" w:space="0" w:color="auto"/>
          </w:divBdr>
        </w:div>
      </w:divsChild>
    </w:div>
    <w:div w:id="925572977">
      <w:marLeft w:val="0"/>
      <w:marRight w:val="0"/>
      <w:marTop w:val="0"/>
      <w:marBottom w:val="0"/>
      <w:divBdr>
        <w:top w:val="none" w:sz="0" w:space="0" w:color="auto"/>
        <w:left w:val="none" w:sz="0" w:space="0" w:color="auto"/>
        <w:bottom w:val="none" w:sz="0" w:space="0" w:color="auto"/>
        <w:right w:val="none" w:sz="0" w:space="0" w:color="auto"/>
      </w:divBdr>
      <w:divsChild>
        <w:div w:id="1472017783">
          <w:marLeft w:val="0"/>
          <w:marRight w:val="0"/>
          <w:marTop w:val="0"/>
          <w:marBottom w:val="0"/>
          <w:divBdr>
            <w:top w:val="none" w:sz="0" w:space="0" w:color="auto"/>
            <w:left w:val="none" w:sz="0" w:space="0" w:color="auto"/>
            <w:bottom w:val="none" w:sz="0" w:space="0" w:color="auto"/>
            <w:right w:val="none" w:sz="0" w:space="0" w:color="auto"/>
          </w:divBdr>
        </w:div>
      </w:divsChild>
    </w:div>
    <w:div w:id="949776619">
      <w:bodyDiv w:val="1"/>
      <w:marLeft w:val="0"/>
      <w:marRight w:val="0"/>
      <w:marTop w:val="0"/>
      <w:marBottom w:val="0"/>
      <w:divBdr>
        <w:top w:val="none" w:sz="0" w:space="0" w:color="auto"/>
        <w:left w:val="none" w:sz="0" w:space="0" w:color="auto"/>
        <w:bottom w:val="none" w:sz="0" w:space="0" w:color="auto"/>
        <w:right w:val="none" w:sz="0" w:space="0" w:color="auto"/>
      </w:divBdr>
      <w:divsChild>
        <w:div w:id="146828590">
          <w:marLeft w:val="0"/>
          <w:marRight w:val="0"/>
          <w:marTop w:val="0"/>
          <w:marBottom w:val="0"/>
          <w:divBdr>
            <w:top w:val="none" w:sz="0" w:space="0" w:color="auto"/>
            <w:left w:val="none" w:sz="0" w:space="0" w:color="auto"/>
            <w:bottom w:val="none" w:sz="0" w:space="0" w:color="auto"/>
            <w:right w:val="none" w:sz="0" w:space="0" w:color="auto"/>
          </w:divBdr>
        </w:div>
        <w:div w:id="167448988">
          <w:marLeft w:val="0"/>
          <w:marRight w:val="0"/>
          <w:marTop w:val="0"/>
          <w:marBottom w:val="0"/>
          <w:divBdr>
            <w:top w:val="none" w:sz="0" w:space="0" w:color="auto"/>
            <w:left w:val="none" w:sz="0" w:space="0" w:color="auto"/>
            <w:bottom w:val="none" w:sz="0" w:space="0" w:color="auto"/>
            <w:right w:val="none" w:sz="0" w:space="0" w:color="auto"/>
          </w:divBdr>
        </w:div>
        <w:div w:id="174535112">
          <w:marLeft w:val="0"/>
          <w:marRight w:val="0"/>
          <w:marTop w:val="0"/>
          <w:marBottom w:val="0"/>
          <w:divBdr>
            <w:top w:val="none" w:sz="0" w:space="0" w:color="auto"/>
            <w:left w:val="none" w:sz="0" w:space="0" w:color="auto"/>
            <w:bottom w:val="none" w:sz="0" w:space="0" w:color="auto"/>
            <w:right w:val="none" w:sz="0" w:space="0" w:color="auto"/>
          </w:divBdr>
        </w:div>
        <w:div w:id="515388321">
          <w:marLeft w:val="0"/>
          <w:marRight w:val="0"/>
          <w:marTop w:val="0"/>
          <w:marBottom w:val="0"/>
          <w:divBdr>
            <w:top w:val="none" w:sz="0" w:space="0" w:color="auto"/>
            <w:left w:val="none" w:sz="0" w:space="0" w:color="auto"/>
            <w:bottom w:val="none" w:sz="0" w:space="0" w:color="auto"/>
            <w:right w:val="none" w:sz="0" w:space="0" w:color="auto"/>
          </w:divBdr>
        </w:div>
        <w:div w:id="534734379">
          <w:marLeft w:val="0"/>
          <w:marRight w:val="0"/>
          <w:marTop w:val="0"/>
          <w:marBottom w:val="0"/>
          <w:divBdr>
            <w:top w:val="none" w:sz="0" w:space="0" w:color="auto"/>
            <w:left w:val="none" w:sz="0" w:space="0" w:color="auto"/>
            <w:bottom w:val="none" w:sz="0" w:space="0" w:color="auto"/>
            <w:right w:val="none" w:sz="0" w:space="0" w:color="auto"/>
          </w:divBdr>
        </w:div>
        <w:div w:id="650136379">
          <w:marLeft w:val="0"/>
          <w:marRight w:val="0"/>
          <w:marTop w:val="0"/>
          <w:marBottom w:val="0"/>
          <w:divBdr>
            <w:top w:val="none" w:sz="0" w:space="0" w:color="auto"/>
            <w:left w:val="none" w:sz="0" w:space="0" w:color="auto"/>
            <w:bottom w:val="none" w:sz="0" w:space="0" w:color="auto"/>
            <w:right w:val="none" w:sz="0" w:space="0" w:color="auto"/>
          </w:divBdr>
        </w:div>
        <w:div w:id="670986131">
          <w:marLeft w:val="0"/>
          <w:marRight w:val="0"/>
          <w:marTop w:val="0"/>
          <w:marBottom w:val="0"/>
          <w:divBdr>
            <w:top w:val="none" w:sz="0" w:space="0" w:color="auto"/>
            <w:left w:val="none" w:sz="0" w:space="0" w:color="auto"/>
            <w:bottom w:val="none" w:sz="0" w:space="0" w:color="auto"/>
            <w:right w:val="none" w:sz="0" w:space="0" w:color="auto"/>
          </w:divBdr>
        </w:div>
        <w:div w:id="725222216">
          <w:marLeft w:val="0"/>
          <w:marRight w:val="0"/>
          <w:marTop w:val="0"/>
          <w:marBottom w:val="0"/>
          <w:divBdr>
            <w:top w:val="none" w:sz="0" w:space="0" w:color="auto"/>
            <w:left w:val="none" w:sz="0" w:space="0" w:color="auto"/>
            <w:bottom w:val="none" w:sz="0" w:space="0" w:color="auto"/>
            <w:right w:val="none" w:sz="0" w:space="0" w:color="auto"/>
          </w:divBdr>
        </w:div>
        <w:div w:id="767966170">
          <w:marLeft w:val="0"/>
          <w:marRight w:val="0"/>
          <w:marTop w:val="0"/>
          <w:marBottom w:val="0"/>
          <w:divBdr>
            <w:top w:val="none" w:sz="0" w:space="0" w:color="auto"/>
            <w:left w:val="none" w:sz="0" w:space="0" w:color="auto"/>
            <w:bottom w:val="none" w:sz="0" w:space="0" w:color="auto"/>
            <w:right w:val="none" w:sz="0" w:space="0" w:color="auto"/>
          </w:divBdr>
        </w:div>
        <w:div w:id="797378171">
          <w:marLeft w:val="0"/>
          <w:marRight w:val="0"/>
          <w:marTop w:val="0"/>
          <w:marBottom w:val="0"/>
          <w:divBdr>
            <w:top w:val="none" w:sz="0" w:space="0" w:color="auto"/>
            <w:left w:val="none" w:sz="0" w:space="0" w:color="auto"/>
            <w:bottom w:val="none" w:sz="0" w:space="0" w:color="auto"/>
            <w:right w:val="none" w:sz="0" w:space="0" w:color="auto"/>
          </w:divBdr>
        </w:div>
        <w:div w:id="811286527">
          <w:marLeft w:val="0"/>
          <w:marRight w:val="0"/>
          <w:marTop w:val="0"/>
          <w:marBottom w:val="0"/>
          <w:divBdr>
            <w:top w:val="none" w:sz="0" w:space="0" w:color="auto"/>
            <w:left w:val="none" w:sz="0" w:space="0" w:color="auto"/>
            <w:bottom w:val="none" w:sz="0" w:space="0" w:color="auto"/>
            <w:right w:val="none" w:sz="0" w:space="0" w:color="auto"/>
          </w:divBdr>
        </w:div>
        <w:div w:id="981809363">
          <w:marLeft w:val="0"/>
          <w:marRight w:val="0"/>
          <w:marTop w:val="0"/>
          <w:marBottom w:val="0"/>
          <w:divBdr>
            <w:top w:val="none" w:sz="0" w:space="0" w:color="auto"/>
            <w:left w:val="none" w:sz="0" w:space="0" w:color="auto"/>
            <w:bottom w:val="none" w:sz="0" w:space="0" w:color="auto"/>
            <w:right w:val="none" w:sz="0" w:space="0" w:color="auto"/>
          </w:divBdr>
        </w:div>
        <w:div w:id="992877141">
          <w:marLeft w:val="0"/>
          <w:marRight w:val="0"/>
          <w:marTop w:val="0"/>
          <w:marBottom w:val="0"/>
          <w:divBdr>
            <w:top w:val="none" w:sz="0" w:space="0" w:color="auto"/>
            <w:left w:val="none" w:sz="0" w:space="0" w:color="auto"/>
            <w:bottom w:val="none" w:sz="0" w:space="0" w:color="auto"/>
            <w:right w:val="none" w:sz="0" w:space="0" w:color="auto"/>
          </w:divBdr>
        </w:div>
        <w:div w:id="994065265">
          <w:marLeft w:val="0"/>
          <w:marRight w:val="0"/>
          <w:marTop w:val="0"/>
          <w:marBottom w:val="0"/>
          <w:divBdr>
            <w:top w:val="none" w:sz="0" w:space="0" w:color="auto"/>
            <w:left w:val="none" w:sz="0" w:space="0" w:color="auto"/>
            <w:bottom w:val="none" w:sz="0" w:space="0" w:color="auto"/>
            <w:right w:val="none" w:sz="0" w:space="0" w:color="auto"/>
          </w:divBdr>
        </w:div>
        <w:div w:id="1070153749">
          <w:marLeft w:val="0"/>
          <w:marRight w:val="0"/>
          <w:marTop w:val="0"/>
          <w:marBottom w:val="0"/>
          <w:divBdr>
            <w:top w:val="none" w:sz="0" w:space="0" w:color="auto"/>
            <w:left w:val="none" w:sz="0" w:space="0" w:color="auto"/>
            <w:bottom w:val="none" w:sz="0" w:space="0" w:color="auto"/>
            <w:right w:val="none" w:sz="0" w:space="0" w:color="auto"/>
          </w:divBdr>
        </w:div>
        <w:div w:id="1112938103">
          <w:marLeft w:val="0"/>
          <w:marRight w:val="0"/>
          <w:marTop w:val="0"/>
          <w:marBottom w:val="0"/>
          <w:divBdr>
            <w:top w:val="none" w:sz="0" w:space="0" w:color="auto"/>
            <w:left w:val="none" w:sz="0" w:space="0" w:color="auto"/>
            <w:bottom w:val="none" w:sz="0" w:space="0" w:color="auto"/>
            <w:right w:val="none" w:sz="0" w:space="0" w:color="auto"/>
          </w:divBdr>
        </w:div>
        <w:div w:id="1226985817">
          <w:marLeft w:val="0"/>
          <w:marRight w:val="0"/>
          <w:marTop w:val="0"/>
          <w:marBottom w:val="0"/>
          <w:divBdr>
            <w:top w:val="none" w:sz="0" w:space="0" w:color="auto"/>
            <w:left w:val="none" w:sz="0" w:space="0" w:color="auto"/>
            <w:bottom w:val="none" w:sz="0" w:space="0" w:color="auto"/>
            <w:right w:val="none" w:sz="0" w:space="0" w:color="auto"/>
          </w:divBdr>
        </w:div>
        <w:div w:id="1232306146">
          <w:marLeft w:val="0"/>
          <w:marRight w:val="0"/>
          <w:marTop w:val="0"/>
          <w:marBottom w:val="0"/>
          <w:divBdr>
            <w:top w:val="none" w:sz="0" w:space="0" w:color="auto"/>
            <w:left w:val="none" w:sz="0" w:space="0" w:color="auto"/>
            <w:bottom w:val="none" w:sz="0" w:space="0" w:color="auto"/>
            <w:right w:val="none" w:sz="0" w:space="0" w:color="auto"/>
          </w:divBdr>
        </w:div>
        <w:div w:id="1232421225">
          <w:marLeft w:val="0"/>
          <w:marRight w:val="0"/>
          <w:marTop w:val="0"/>
          <w:marBottom w:val="0"/>
          <w:divBdr>
            <w:top w:val="none" w:sz="0" w:space="0" w:color="auto"/>
            <w:left w:val="none" w:sz="0" w:space="0" w:color="auto"/>
            <w:bottom w:val="none" w:sz="0" w:space="0" w:color="auto"/>
            <w:right w:val="none" w:sz="0" w:space="0" w:color="auto"/>
          </w:divBdr>
        </w:div>
        <w:div w:id="1246306743">
          <w:marLeft w:val="0"/>
          <w:marRight w:val="0"/>
          <w:marTop w:val="0"/>
          <w:marBottom w:val="0"/>
          <w:divBdr>
            <w:top w:val="none" w:sz="0" w:space="0" w:color="auto"/>
            <w:left w:val="none" w:sz="0" w:space="0" w:color="auto"/>
            <w:bottom w:val="none" w:sz="0" w:space="0" w:color="auto"/>
            <w:right w:val="none" w:sz="0" w:space="0" w:color="auto"/>
          </w:divBdr>
        </w:div>
        <w:div w:id="1249734269">
          <w:marLeft w:val="0"/>
          <w:marRight w:val="0"/>
          <w:marTop w:val="0"/>
          <w:marBottom w:val="0"/>
          <w:divBdr>
            <w:top w:val="none" w:sz="0" w:space="0" w:color="auto"/>
            <w:left w:val="none" w:sz="0" w:space="0" w:color="auto"/>
            <w:bottom w:val="none" w:sz="0" w:space="0" w:color="auto"/>
            <w:right w:val="none" w:sz="0" w:space="0" w:color="auto"/>
          </w:divBdr>
        </w:div>
        <w:div w:id="1516579183">
          <w:marLeft w:val="0"/>
          <w:marRight w:val="0"/>
          <w:marTop w:val="0"/>
          <w:marBottom w:val="0"/>
          <w:divBdr>
            <w:top w:val="none" w:sz="0" w:space="0" w:color="auto"/>
            <w:left w:val="none" w:sz="0" w:space="0" w:color="auto"/>
            <w:bottom w:val="none" w:sz="0" w:space="0" w:color="auto"/>
            <w:right w:val="none" w:sz="0" w:space="0" w:color="auto"/>
          </w:divBdr>
        </w:div>
        <w:div w:id="1613707203">
          <w:marLeft w:val="0"/>
          <w:marRight w:val="0"/>
          <w:marTop w:val="0"/>
          <w:marBottom w:val="0"/>
          <w:divBdr>
            <w:top w:val="none" w:sz="0" w:space="0" w:color="auto"/>
            <w:left w:val="none" w:sz="0" w:space="0" w:color="auto"/>
            <w:bottom w:val="none" w:sz="0" w:space="0" w:color="auto"/>
            <w:right w:val="none" w:sz="0" w:space="0" w:color="auto"/>
          </w:divBdr>
        </w:div>
        <w:div w:id="1622230159">
          <w:marLeft w:val="0"/>
          <w:marRight w:val="0"/>
          <w:marTop w:val="0"/>
          <w:marBottom w:val="0"/>
          <w:divBdr>
            <w:top w:val="none" w:sz="0" w:space="0" w:color="auto"/>
            <w:left w:val="none" w:sz="0" w:space="0" w:color="auto"/>
            <w:bottom w:val="none" w:sz="0" w:space="0" w:color="auto"/>
            <w:right w:val="none" w:sz="0" w:space="0" w:color="auto"/>
          </w:divBdr>
        </w:div>
        <w:div w:id="1882470671">
          <w:marLeft w:val="0"/>
          <w:marRight w:val="0"/>
          <w:marTop w:val="0"/>
          <w:marBottom w:val="0"/>
          <w:divBdr>
            <w:top w:val="none" w:sz="0" w:space="0" w:color="auto"/>
            <w:left w:val="none" w:sz="0" w:space="0" w:color="auto"/>
            <w:bottom w:val="none" w:sz="0" w:space="0" w:color="auto"/>
            <w:right w:val="none" w:sz="0" w:space="0" w:color="auto"/>
          </w:divBdr>
        </w:div>
        <w:div w:id="1924412734">
          <w:marLeft w:val="0"/>
          <w:marRight w:val="0"/>
          <w:marTop w:val="0"/>
          <w:marBottom w:val="0"/>
          <w:divBdr>
            <w:top w:val="none" w:sz="0" w:space="0" w:color="auto"/>
            <w:left w:val="none" w:sz="0" w:space="0" w:color="auto"/>
            <w:bottom w:val="none" w:sz="0" w:space="0" w:color="auto"/>
            <w:right w:val="none" w:sz="0" w:space="0" w:color="auto"/>
          </w:divBdr>
        </w:div>
        <w:div w:id="1979459000">
          <w:marLeft w:val="0"/>
          <w:marRight w:val="0"/>
          <w:marTop w:val="0"/>
          <w:marBottom w:val="0"/>
          <w:divBdr>
            <w:top w:val="none" w:sz="0" w:space="0" w:color="auto"/>
            <w:left w:val="none" w:sz="0" w:space="0" w:color="auto"/>
            <w:bottom w:val="none" w:sz="0" w:space="0" w:color="auto"/>
            <w:right w:val="none" w:sz="0" w:space="0" w:color="auto"/>
          </w:divBdr>
        </w:div>
        <w:div w:id="2015522715">
          <w:marLeft w:val="0"/>
          <w:marRight w:val="0"/>
          <w:marTop w:val="0"/>
          <w:marBottom w:val="0"/>
          <w:divBdr>
            <w:top w:val="none" w:sz="0" w:space="0" w:color="auto"/>
            <w:left w:val="none" w:sz="0" w:space="0" w:color="auto"/>
            <w:bottom w:val="none" w:sz="0" w:space="0" w:color="auto"/>
            <w:right w:val="none" w:sz="0" w:space="0" w:color="auto"/>
          </w:divBdr>
        </w:div>
        <w:div w:id="2081518942">
          <w:marLeft w:val="0"/>
          <w:marRight w:val="0"/>
          <w:marTop w:val="0"/>
          <w:marBottom w:val="0"/>
          <w:divBdr>
            <w:top w:val="none" w:sz="0" w:space="0" w:color="auto"/>
            <w:left w:val="none" w:sz="0" w:space="0" w:color="auto"/>
            <w:bottom w:val="none" w:sz="0" w:space="0" w:color="auto"/>
            <w:right w:val="none" w:sz="0" w:space="0" w:color="auto"/>
          </w:divBdr>
        </w:div>
        <w:div w:id="2110076456">
          <w:marLeft w:val="0"/>
          <w:marRight w:val="0"/>
          <w:marTop w:val="0"/>
          <w:marBottom w:val="0"/>
          <w:divBdr>
            <w:top w:val="none" w:sz="0" w:space="0" w:color="auto"/>
            <w:left w:val="none" w:sz="0" w:space="0" w:color="auto"/>
            <w:bottom w:val="none" w:sz="0" w:space="0" w:color="auto"/>
            <w:right w:val="none" w:sz="0" w:space="0" w:color="auto"/>
          </w:divBdr>
        </w:div>
        <w:div w:id="2142455638">
          <w:marLeft w:val="0"/>
          <w:marRight w:val="0"/>
          <w:marTop w:val="0"/>
          <w:marBottom w:val="0"/>
          <w:divBdr>
            <w:top w:val="none" w:sz="0" w:space="0" w:color="auto"/>
            <w:left w:val="none" w:sz="0" w:space="0" w:color="auto"/>
            <w:bottom w:val="none" w:sz="0" w:space="0" w:color="auto"/>
            <w:right w:val="none" w:sz="0" w:space="0" w:color="auto"/>
          </w:divBdr>
        </w:div>
      </w:divsChild>
    </w:div>
    <w:div w:id="983969829">
      <w:marLeft w:val="0"/>
      <w:marRight w:val="0"/>
      <w:marTop w:val="0"/>
      <w:marBottom w:val="0"/>
      <w:divBdr>
        <w:top w:val="none" w:sz="0" w:space="0" w:color="auto"/>
        <w:left w:val="none" w:sz="0" w:space="0" w:color="auto"/>
        <w:bottom w:val="none" w:sz="0" w:space="0" w:color="auto"/>
        <w:right w:val="none" w:sz="0" w:space="0" w:color="auto"/>
      </w:divBdr>
      <w:divsChild>
        <w:div w:id="727920968">
          <w:marLeft w:val="0"/>
          <w:marRight w:val="0"/>
          <w:marTop w:val="0"/>
          <w:marBottom w:val="0"/>
          <w:divBdr>
            <w:top w:val="none" w:sz="0" w:space="0" w:color="auto"/>
            <w:left w:val="none" w:sz="0" w:space="0" w:color="auto"/>
            <w:bottom w:val="none" w:sz="0" w:space="0" w:color="auto"/>
            <w:right w:val="none" w:sz="0" w:space="0" w:color="auto"/>
          </w:divBdr>
        </w:div>
      </w:divsChild>
    </w:div>
    <w:div w:id="1014846060">
      <w:marLeft w:val="0"/>
      <w:marRight w:val="0"/>
      <w:marTop w:val="0"/>
      <w:marBottom w:val="0"/>
      <w:divBdr>
        <w:top w:val="none" w:sz="0" w:space="0" w:color="auto"/>
        <w:left w:val="none" w:sz="0" w:space="0" w:color="auto"/>
        <w:bottom w:val="none" w:sz="0" w:space="0" w:color="auto"/>
        <w:right w:val="none" w:sz="0" w:space="0" w:color="auto"/>
      </w:divBdr>
      <w:divsChild>
        <w:div w:id="708724989">
          <w:marLeft w:val="0"/>
          <w:marRight w:val="0"/>
          <w:marTop w:val="0"/>
          <w:marBottom w:val="0"/>
          <w:divBdr>
            <w:top w:val="none" w:sz="0" w:space="0" w:color="auto"/>
            <w:left w:val="none" w:sz="0" w:space="0" w:color="auto"/>
            <w:bottom w:val="none" w:sz="0" w:space="0" w:color="auto"/>
            <w:right w:val="none" w:sz="0" w:space="0" w:color="auto"/>
          </w:divBdr>
        </w:div>
      </w:divsChild>
    </w:div>
    <w:div w:id="1055927545">
      <w:marLeft w:val="0"/>
      <w:marRight w:val="0"/>
      <w:marTop w:val="0"/>
      <w:marBottom w:val="0"/>
      <w:divBdr>
        <w:top w:val="none" w:sz="0" w:space="0" w:color="auto"/>
        <w:left w:val="none" w:sz="0" w:space="0" w:color="auto"/>
        <w:bottom w:val="none" w:sz="0" w:space="0" w:color="auto"/>
        <w:right w:val="none" w:sz="0" w:space="0" w:color="auto"/>
      </w:divBdr>
      <w:divsChild>
        <w:div w:id="178588461">
          <w:marLeft w:val="0"/>
          <w:marRight w:val="0"/>
          <w:marTop w:val="0"/>
          <w:marBottom w:val="0"/>
          <w:divBdr>
            <w:top w:val="none" w:sz="0" w:space="0" w:color="auto"/>
            <w:left w:val="none" w:sz="0" w:space="0" w:color="auto"/>
            <w:bottom w:val="none" w:sz="0" w:space="0" w:color="auto"/>
            <w:right w:val="none" w:sz="0" w:space="0" w:color="auto"/>
          </w:divBdr>
        </w:div>
      </w:divsChild>
    </w:div>
    <w:div w:id="1175146306">
      <w:marLeft w:val="0"/>
      <w:marRight w:val="0"/>
      <w:marTop w:val="0"/>
      <w:marBottom w:val="0"/>
      <w:divBdr>
        <w:top w:val="none" w:sz="0" w:space="0" w:color="auto"/>
        <w:left w:val="none" w:sz="0" w:space="0" w:color="auto"/>
        <w:bottom w:val="none" w:sz="0" w:space="0" w:color="auto"/>
        <w:right w:val="none" w:sz="0" w:space="0" w:color="auto"/>
      </w:divBdr>
      <w:divsChild>
        <w:div w:id="2046253037">
          <w:marLeft w:val="0"/>
          <w:marRight w:val="0"/>
          <w:marTop w:val="0"/>
          <w:marBottom w:val="0"/>
          <w:divBdr>
            <w:top w:val="none" w:sz="0" w:space="0" w:color="auto"/>
            <w:left w:val="none" w:sz="0" w:space="0" w:color="auto"/>
            <w:bottom w:val="none" w:sz="0" w:space="0" w:color="auto"/>
            <w:right w:val="none" w:sz="0" w:space="0" w:color="auto"/>
          </w:divBdr>
        </w:div>
      </w:divsChild>
    </w:div>
    <w:div w:id="1175269104">
      <w:marLeft w:val="0"/>
      <w:marRight w:val="0"/>
      <w:marTop w:val="0"/>
      <w:marBottom w:val="0"/>
      <w:divBdr>
        <w:top w:val="none" w:sz="0" w:space="0" w:color="auto"/>
        <w:left w:val="none" w:sz="0" w:space="0" w:color="auto"/>
        <w:bottom w:val="none" w:sz="0" w:space="0" w:color="auto"/>
        <w:right w:val="none" w:sz="0" w:space="0" w:color="auto"/>
      </w:divBdr>
      <w:divsChild>
        <w:div w:id="361974454">
          <w:marLeft w:val="0"/>
          <w:marRight w:val="0"/>
          <w:marTop w:val="0"/>
          <w:marBottom w:val="0"/>
          <w:divBdr>
            <w:top w:val="none" w:sz="0" w:space="0" w:color="auto"/>
            <w:left w:val="none" w:sz="0" w:space="0" w:color="auto"/>
            <w:bottom w:val="none" w:sz="0" w:space="0" w:color="auto"/>
            <w:right w:val="none" w:sz="0" w:space="0" w:color="auto"/>
          </w:divBdr>
        </w:div>
      </w:divsChild>
    </w:div>
    <w:div w:id="1224870495">
      <w:marLeft w:val="0"/>
      <w:marRight w:val="0"/>
      <w:marTop w:val="0"/>
      <w:marBottom w:val="0"/>
      <w:divBdr>
        <w:top w:val="none" w:sz="0" w:space="0" w:color="auto"/>
        <w:left w:val="none" w:sz="0" w:space="0" w:color="auto"/>
        <w:bottom w:val="none" w:sz="0" w:space="0" w:color="auto"/>
        <w:right w:val="none" w:sz="0" w:space="0" w:color="auto"/>
      </w:divBdr>
      <w:divsChild>
        <w:div w:id="1775704151">
          <w:marLeft w:val="0"/>
          <w:marRight w:val="0"/>
          <w:marTop w:val="0"/>
          <w:marBottom w:val="0"/>
          <w:divBdr>
            <w:top w:val="none" w:sz="0" w:space="0" w:color="auto"/>
            <w:left w:val="none" w:sz="0" w:space="0" w:color="auto"/>
            <w:bottom w:val="none" w:sz="0" w:space="0" w:color="auto"/>
            <w:right w:val="none" w:sz="0" w:space="0" w:color="auto"/>
          </w:divBdr>
        </w:div>
      </w:divsChild>
    </w:div>
    <w:div w:id="1247615514">
      <w:marLeft w:val="0"/>
      <w:marRight w:val="0"/>
      <w:marTop w:val="0"/>
      <w:marBottom w:val="0"/>
      <w:divBdr>
        <w:top w:val="none" w:sz="0" w:space="0" w:color="auto"/>
        <w:left w:val="none" w:sz="0" w:space="0" w:color="auto"/>
        <w:bottom w:val="none" w:sz="0" w:space="0" w:color="auto"/>
        <w:right w:val="none" w:sz="0" w:space="0" w:color="auto"/>
      </w:divBdr>
      <w:divsChild>
        <w:div w:id="52432585">
          <w:marLeft w:val="0"/>
          <w:marRight w:val="0"/>
          <w:marTop w:val="0"/>
          <w:marBottom w:val="0"/>
          <w:divBdr>
            <w:top w:val="none" w:sz="0" w:space="0" w:color="auto"/>
            <w:left w:val="none" w:sz="0" w:space="0" w:color="auto"/>
            <w:bottom w:val="none" w:sz="0" w:space="0" w:color="auto"/>
            <w:right w:val="none" w:sz="0" w:space="0" w:color="auto"/>
          </w:divBdr>
        </w:div>
      </w:divsChild>
    </w:div>
    <w:div w:id="1271863368">
      <w:marLeft w:val="0"/>
      <w:marRight w:val="0"/>
      <w:marTop w:val="0"/>
      <w:marBottom w:val="0"/>
      <w:divBdr>
        <w:top w:val="none" w:sz="0" w:space="0" w:color="auto"/>
        <w:left w:val="none" w:sz="0" w:space="0" w:color="auto"/>
        <w:bottom w:val="none" w:sz="0" w:space="0" w:color="auto"/>
        <w:right w:val="none" w:sz="0" w:space="0" w:color="auto"/>
      </w:divBdr>
      <w:divsChild>
        <w:div w:id="1464231808">
          <w:marLeft w:val="0"/>
          <w:marRight w:val="0"/>
          <w:marTop w:val="0"/>
          <w:marBottom w:val="0"/>
          <w:divBdr>
            <w:top w:val="none" w:sz="0" w:space="0" w:color="auto"/>
            <w:left w:val="none" w:sz="0" w:space="0" w:color="auto"/>
            <w:bottom w:val="none" w:sz="0" w:space="0" w:color="auto"/>
            <w:right w:val="none" w:sz="0" w:space="0" w:color="auto"/>
          </w:divBdr>
        </w:div>
      </w:divsChild>
    </w:div>
    <w:div w:id="1427388817">
      <w:bodyDiv w:val="1"/>
      <w:marLeft w:val="0"/>
      <w:marRight w:val="0"/>
      <w:marTop w:val="0"/>
      <w:marBottom w:val="0"/>
      <w:divBdr>
        <w:top w:val="none" w:sz="0" w:space="0" w:color="auto"/>
        <w:left w:val="none" w:sz="0" w:space="0" w:color="auto"/>
        <w:bottom w:val="none" w:sz="0" w:space="0" w:color="auto"/>
        <w:right w:val="none" w:sz="0" w:space="0" w:color="auto"/>
      </w:divBdr>
    </w:div>
    <w:div w:id="1435513907">
      <w:marLeft w:val="0"/>
      <w:marRight w:val="0"/>
      <w:marTop w:val="0"/>
      <w:marBottom w:val="0"/>
      <w:divBdr>
        <w:top w:val="none" w:sz="0" w:space="0" w:color="auto"/>
        <w:left w:val="none" w:sz="0" w:space="0" w:color="auto"/>
        <w:bottom w:val="none" w:sz="0" w:space="0" w:color="auto"/>
        <w:right w:val="none" w:sz="0" w:space="0" w:color="auto"/>
      </w:divBdr>
      <w:divsChild>
        <w:div w:id="2021538422">
          <w:marLeft w:val="0"/>
          <w:marRight w:val="0"/>
          <w:marTop w:val="0"/>
          <w:marBottom w:val="0"/>
          <w:divBdr>
            <w:top w:val="none" w:sz="0" w:space="0" w:color="auto"/>
            <w:left w:val="none" w:sz="0" w:space="0" w:color="auto"/>
            <w:bottom w:val="none" w:sz="0" w:space="0" w:color="auto"/>
            <w:right w:val="none" w:sz="0" w:space="0" w:color="auto"/>
          </w:divBdr>
        </w:div>
      </w:divsChild>
    </w:div>
    <w:div w:id="1492017506">
      <w:marLeft w:val="0"/>
      <w:marRight w:val="0"/>
      <w:marTop w:val="0"/>
      <w:marBottom w:val="0"/>
      <w:divBdr>
        <w:top w:val="none" w:sz="0" w:space="0" w:color="auto"/>
        <w:left w:val="none" w:sz="0" w:space="0" w:color="auto"/>
        <w:bottom w:val="none" w:sz="0" w:space="0" w:color="auto"/>
        <w:right w:val="none" w:sz="0" w:space="0" w:color="auto"/>
      </w:divBdr>
      <w:divsChild>
        <w:div w:id="2075346881">
          <w:marLeft w:val="0"/>
          <w:marRight w:val="0"/>
          <w:marTop w:val="0"/>
          <w:marBottom w:val="0"/>
          <w:divBdr>
            <w:top w:val="none" w:sz="0" w:space="0" w:color="auto"/>
            <w:left w:val="none" w:sz="0" w:space="0" w:color="auto"/>
            <w:bottom w:val="none" w:sz="0" w:space="0" w:color="auto"/>
            <w:right w:val="none" w:sz="0" w:space="0" w:color="auto"/>
          </w:divBdr>
        </w:div>
      </w:divsChild>
    </w:div>
    <w:div w:id="1495805589">
      <w:marLeft w:val="0"/>
      <w:marRight w:val="0"/>
      <w:marTop w:val="0"/>
      <w:marBottom w:val="0"/>
      <w:divBdr>
        <w:top w:val="none" w:sz="0" w:space="0" w:color="auto"/>
        <w:left w:val="none" w:sz="0" w:space="0" w:color="auto"/>
        <w:bottom w:val="none" w:sz="0" w:space="0" w:color="auto"/>
        <w:right w:val="none" w:sz="0" w:space="0" w:color="auto"/>
      </w:divBdr>
      <w:divsChild>
        <w:div w:id="237904821">
          <w:marLeft w:val="0"/>
          <w:marRight w:val="0"/>
          <w:marTop w:val="0"/>
          <w:marBottom w:val="0"/>
          <w:divBdr>
            <w:top w:val="none" w:sz="0" w:space="0" w:color="auto"/>
            <w:left w:val="none" w:sz="0" w:space="0" w:color="auto"/>
            <w:bottom w:val="none" w:sz="0" w:space="0" w:color="auto"/>
            <w:right w:val="none" w:sz="0" w:space="0" w:color="auto"/>
          </w:divBdr>
        </w:div>
      </w:divsChild>
    </w:div>
    <w:div w:id="1497260701">
      <w:marLeft w:val="0"/>
      <w:marRight w:val="0"/>
      <w:marTop w:val="0"/>
      <w:marBottom w:val="0"/>
      <w:divBdr>
        <w:top w:val="none" w:sz="0" w:space="0" w:color="auto"/>
        <w:left w:val="none" w:sz="0" w:space="0" w:color="auto"/>
        <w:bottom w:val="none" w:sz="0" w:space="0" w:color="auto"/>
        <w:right w:val="none" w:sz="0" w:space="0" w:color="auto"/>
      </w:divBdr>
      <w:divsChild>
        <w:div w:id="716508363">
          <w:marLeft w:val="0"/>
          <w:marRight w:val="0"/>
          <w:marTop w:val="0"/>
          <w:marBottom w:val="0"/>
          <w:divBdr>
            <w:top w:val="none" w:sz="0" w:space="0" w:color="auto"/>
            <w:left w:val="none" w:sz="0" w:space="0" w:color="auto"/>
            <w:bottom w:val="none" w:sz="0" w:space="0" w:color="auto"/>
            <w:right w:val="none" w:sz="0" w:space="0" w:color="auto"/>
          </w:divBdr>
        </w:div>
      </w:divsChild>
    </w:div>
    <w:div w:id="1544631566">
      <w:marLeft w:val="0"/>
      <w:marRight w:val="0"/>
      <w:marTop w:val="0"/>
      <w:marBottom w:val="0"/>
      <w:divBdr>
        <w:top w:val="none" w:sz="0" w:space="0" w:color="auto"/>
        <w:left w:val="none" w:sz="0" w:space="0" w:color="auto"/>
        <w:bottom w:val="none" w:sz="0" w:space="0" w:color="auto"/>
        <w:right w:val="none" w:sz="0" w:space="0" w:color="auto"/>
      </w:divBdr>
      <w:divsChild>
        <w:div w:id="713121444">
          <w:marLeft w:val="0"/>
          <w:marRight w:val="0"/>
          <w:marTop w:val="0"/>
          <w:marBottom w:val="0"/>
          <w:divBdr>
            <w:top w:val="none" w:sz="0" w:space="0" w:color="auto"/>
            <w:left w:val="none" w:sz="0" w:space="0" w:color="auto"/>
            <w:bottom w:val="none" w:sz="0" w:space="0" w:color="auto"/>
            <w:right w:val="none" w:sz="0" w:space="0" w:color="auto"/>
          </w:divBdr>
        </w:div>
      </w:divsChild>
    </w:div>
    <w:div w:id="1634826949">
      <w:bodyDiv w:val="1"/>
      <w:marLeft w:val="0"/>
      <w:marRight w:val="0"/>
      <w:marTop w:val="0"/>
      <w:marBottom w:val="0"/>
      <w:divBdr>
        <w:top w:val="none" w:sz="0" w:space="0" w:color="auto"/>
        <w:left w:val="none" w:sz="0" w:space="0" w:color="auto"/>
        <w:bottom w:val="none" w:sz="0" w:space="0" w:color="auto"/>
        <w:right w:val="none" w:sz="0" w:space="0" w:color="auto"/>
      </w:divBdr>
      <w:divsChild>
        <w:div w:id="1340736329">
          <w:marLeft w:val="0"/>
          <w:marRight w:val="0"/>
          <w:marTop w:val="0"/>
          <w:marBottom w:val="0"/>
          <w:divBdr>
            <w:top w:val="none" w:sz="0" w:space="0" w:color="auto"/>
            <w:left w:val="none" w:sz="0" w:space="0" w:color="auto"/>
            <w:bottom w:val="none" w:sz="0" w:space="0" w:color="auto"/>
            <w:right w:val="none" w:sz="0" w:space="0" w:color="auto"/>
          </w:divBdr>
        </w:div>
        <w:div w:id="2083676766">
          <w:marLeft w:val="0"/>
          <w:marRight w:val="0"/>
          <w:marTop w:val="0"/>
          <w:marBottom w:val="0"/>
          <w:divBdr>
            <w:top w:val="none" w:sz="0" w:space="0" w:color="auto"/>
            <w:left w:val="none" w:sz="0" w:space="0" w:color="auto"/>
            <w:bottom w:val="none" w:sz="0" w:space="0" w:color="auto"/>
            <w:right w:val="none" w:sz="0" w:space="0" w:color="auto"/>
          </w:divBdr>
        </w:div>
      </w:divsChild>
    </w:div>
    <w:div w:id="1652556639">
      <w:marLeft w:val="0"/>
      <w:marRight w:val="0"/>
      <w:marTop w:val="0"/>
      <w:marBottom w:val="0"/>
      <w:divBdr>
        <w:top w:val="none" w:sz="0" w:space="0" w:color="auto"/>
        <w:left w:val="none" w:sz="0" w:space="0" w:color="auto"/>
        <w:bottom w:val="none" w:sz="0" w:space="0" w:color="auto"/>
        <w:right w:val="none" w:sz="0" w:space="0" w:color="auto"/>
      </w:divBdr>
      <w:divsChild>
        <w:div w:id="433013874">
          <w:marLeft w:val="0"/>
          <w:marRight w:val="0"/>
          <w:marTop w:val="0"/>
          <w:marBottom w:val="0"/>
          <w:divBdr>
            <w:top w:val="none" w:sz="0" w:space="0" w:color="auto"/>
            <w:left w:val="none" w:sz="0" w:space="0" w:color="auto"/>
            <w:bottom w:val="none" w:sz="0" w:space="0" w:color="auto"/>
            <w:right w:val="none" w:sz="0" w:space="0" w:color="auto"/>
          </w:divBdr>
        </w:div>
      </w:divsChild>
    </w:div>
    <w:div w:id="1672945697">
      <w:marLeft w:val="0"/>
      <w:marRight w:val="0"/>
      <w:marTop w:val="0"/>
      <w:marBottom w:val="0"/>
      <w:divBdr>
        <w:top w:val="none" w:sz="0" w:space="0" w:color="auto"/>
        <w:left w:val="none" w:sz="0" w:space="0" w:color="auto"/>
        <w:bottom w:val="none" w:sz="0" w:space="0" w:color="auto"/>
        <w:right w:val="none" w:sz="0" w:space="0" w:color="auto"/>
      </w:divBdr>
      <w:divsChild>
        <w:div w:id="1120957344">
          <w:marLeft w:val="0"/>
          <w:marRight w:val="0"/>
          <w:marTop w:val="0"/>
          <w:marBottom w:val="0"/>
          <w:divBdr>
            <w:top w:val="none" w:sz="0" w:space="0" w:color="auto"/>
            <w:left w:val="none" w:sz="0" w:space="0" w:color="auto"/>
            <w:bottom w:val="none" w:sz="0" w:space="0" w:color="auto"/>
            <w:right w:val="none" w:sz="0" w:space="0" w:color="auto"/>
          </w:divBdr>
        </w:div>
      </w:divsChild>
    </w:div>
    <w:div w:id="1688631431">
      <w:marLeft w:val="0"/>
      <w:marRight w:val="0"/>
      <w:marTop w:val="0"/>
      <w:marBottom w:val="0"/>
      <w:divBdr>
        <w:top w:val="none" w:sz="0" w:space="0" w:color="auto"/>
        <w:left w:val="none" w:sz="0" w:space="0" w:color="auto"/>
        <w:bottom w:val="none" w:sz="0" w:space="0" w:color="auto"/>
        <w:right w:val="none" w:sz="0" w:space="0" w:color="auto"/>
      </w:divBdr>
      <w:divsChild>
        <w:div w:id="2011134533">
          <w:marLeft w:val="0"/>
          <w:marRight w:val="0"/>
          <w:marTop w:val="0"/>
          <w:marBottom w:val="0"/>
          <w:divBdr>
            <w:top w:val="none" w:sz="0" w:space="0" w:color="auto"/>
            <w:left w:val="none" w:sz="0" w:space="0" w:color="auto"/>
            <w:bottom w:val="none" w:sz="0" w:space="0" w:color="auto"/>
            <w:right w:val="none" w:sz="0" w:space="0" w:color="auto"/>
          </w:divBdr>
        </w:div>
      </w:divsChild>
    </w:div>
    <w:div w:id="1699967335">
      <w:marLeft w:val="0"/>
      <w:marRight w:val="0"/>
      <w:marTop w:val="0"/>
      <w:marBottom w:val="0"/>
      <w:divBdr>
        <w:top w:val="none" w:sz="0" w:space="0" w:color="auto"/>
        <w:left w:val="none" w:sz="0" w:space="0" w:color="auto"/>
        <w:bottom w:val="none" w:sz="0" w:space="0" w:color="auto"/>
        <w:right w:val="none" w:sz="0" w:space="0" w:color="auto"/>
      </w:divBdr>
      <w:divsChild>
        <w:div w:id="551695026">
          <w:marLeft w:val="0"/>
          <w:marRight w:val="0"/>
          <w:marTop w:val="0"/>
          <w:marBottom w:val="0"/>
          <w:divBdr>
            <w:top w:val="none" w:sz="0" w:space="0" w:color="auto"/>
            <w:left w:val="none" w:sz="0" w:space="0" w:color="auto"/>
            <w:bottom w:val="none" w:sz="0" w:space="0" w:color="auto"/>
            <w:right w:val="none" w:sz="0" w:space="0" w:color="auto"/>
          </w:divBdr>
        </w:div>
      </w:divsChild>
    </w:div>
    <w:div w:id="1742095508">
      <w:marLeft w:val="0"/>
      <w:marRight w:val="0"/>
      <w:marTop w:val="0"/>
      <w:marBottom w:val="0"/>
      <w:divBdr>
        <w:top w:val="none" w:sz="0" w:space="0" w:color="auto"/>
        <w:left w:val="none" w:sz="0" w:space="0" w:color="auto"/>
        <w:bottom w:val="none" w:sz="0" w:space="0" w:color="auto"/>
        <w:right w:val="none" w:sz="0" w:space="0" w:color="auto"/>
      </w:divBdr>
      <w:divsChild>
        <w:div w:id="1718241551">
          <w:marLeft w:val="0"/>
          <w:marRight w:val="0"/>
          <w:marTop w:val="0"/>
          <w:marBottom w:val="0"/>
          <w:divBdr>
            <w:top w:val="none" w:sz="0" w:space="0" w:color="auto"/>
            <w:left w:val="none" w:sz="0" w:space="0" w:color="auto"/>
            <w:bottom w:val="none" w:sz="0" w:space="0" w:color="auto"/>
            <w:right w:val="none" w:sz="0" w:space="0" w:color="auto"/>
          </w:divBdr>
        </w:div>
      </w:divsChild>
    </w:div>
    <w:div w:id="1768453925">
      <w:marLeft w:val="0"/>
      <w:marRight w:val="0"/>
      <w:marTop w:val="0"/>
      <w:marBottom w:val="0"/>
      <w:divBdr>
        <w:top w:val="none" w:sz="0" w:space="0" w:color="auto"/>
        <w:left w:val="none" w:sz="0" w:space="0" w:color="auto"/>
        <w:bottom w:val="none" w:sz="0" w:space="0" w:color="auto"/>
        <w:right w:val="none" w:sz="0" w:space="0" w:color="auto"/>
      </w:divBdr>
      <w:divsChild>
        <w:div w:id="407462641">
          <w:marLeft w:val="0"/>
          <w:marRight w:val="0"/>
          <w:marTop w:val="0"/>
          <w:marBottom w:val="0"/>
          <w:divBdr>
            <w:top w:val="none" w:sz="0" w:space="0" w:color="auto"/>
            <w:left w:val="none" w:sz="0" w:space="0" w:color="auto"/>
            <w:bottom w:val="none" w:sz="0" w:space="0" w:color="auto"/>
            <w:right w:val="none" w:sz="0" w:space="0" w:color="auto"/>
          </w:divBdr>
        </w:div>
      </w:divsChild>
    </w:div>
    <w:div w:id="1776974649">
      <w:marLeft w:val="0"/>
      <w:marRight w:val="0"/>
      <w:marTop w:val="0"/>
      <w:marBottom w:val="0"/>
      <w:divBdr>
        <w:top w:val="none" w:sz="0" w:space="0" w:color="auto"/>
        <w:left w:val="none" w:sz="0" w:space="0" w:color="auto"/>
        <w:bottom w:val="none" w:sz="0" w:space="0" w:color="auto"/>
        <w:right w:val="none" w:sz="0" w:space="0" w:color="auto"/>
      </w:divBdr>
      <w:divsChild>
        <w:div w:id="1353654000">
          <w:marLeft w:val="0"/>
          <w:marRight w:val="0"/>
          <w:marTop w:val="0"/>
          <w:marBottom w:val="0"/>
          <w:divBdr>
            <w:top w:val="none" w:sz="0" w:space="0" w:color="auto"/>
            <w:left w:val="none" w:sz="0" w:space="0" w:color="auto"/>
            <w:bottom w:val="none" w:sz="0" w:space="0" w:color="auto"/>
            <w:right w:val="none" w:sz="0" w:space="0" w:color="auto"/>
          </w:divBdr>
        </w:div>
      </w:divsChild>
    </w:div>
    <w:div w:id="1800681024">
      <w:marLeft w:val="0"/>
      <w:marRight w:val="0"/>
      <w:marTop w:val="0"/>
      <w:marBottom w:val="0"/>
      <w:divBdr>
        <w:top w:val="none" w:sz="0" w:space="0" w:color="auto"/>
        <w:left w:val="none" w:sz="0" w:space="0" w:color="auto"/>
        <w:bottom w:val="none" w:sz="0" w:space="0" w:color="auto"/>
        <w:right w:val="none" w:sz="0" w:space="0" w:color="auto"/>
      </w:divBdr>
      <w:divsChild>
        <w:div w:id="400760997">
          <w:marLeft w:val="0"/>
          <w:marRight w:val="0"/>
          <w:marTop w:val="0"/>
          <w:marBottom w:val="0"/>
          <w:divBdr>
            <w:top w:val="none" w:sz="0" w:space="0" w:color="auto"/>
            <w:left w:val="none" w:sz="0" w:space="0" w:color="auto"/>
            <w:bottom w:val="none" w:sz="0" w:space="0" w:color="auto"/>
            <w:right w:val="none" w:sz="0" w:space="0" w:color="auto"/>
          </w:divBdr>
        </w:div>
      </w:divsChild>
    </w:div>
    <w:div w:id="1883597211">
      <w:marLeft w:val="0"/>
      <w:marRight w:val="0"/>
      <w:marTop w:val="0"/>
      <w:marBottom w:val="0"/>
      <w:divBdr>
        <w:top w:val="none" w:sz="0" w:space="0" w:color="auto"/>
        <w:left w:val="none" w:sz="0" w:space="0" w:color="auto"/>
        <w:bottom w:val="none" w:sz="0" w:space="0" w:color="auto"/>
        <w:right w:val="none" w:sz="0" w:space="0" w:color="auto"/>
      </w:divBdr>
      <w:divsChild>
        <w:div w:id="1148477206">
          <w:marLeft w:val="0"/>
          <w:marRight w:val="0"/>
          <w:marTop w:val="0"/>
          <w:marBottom w:val="0"/>
          <w:divBdr>
            <w:top w:val="none" w:sz="0" w:space="0" w:color="auto"/>
            <w:left w:val="none" w:sz="0" w:space="0" w:color="auto"/>
            <w:bottom w:val="none" w:sz="0" w:space="0" w:color="auto"/>
            <w:right w:val="none" w:sz="0" w:space="0" w:color="auto"/>
          </w:divBdr>
        </w:div>
      </w:divsChild>
    </w:div>
    <w:div w:id="1986740942">
      <w:bodyDiv w:val="1"/>
      <w:marLeft w:val="0"/>
      <w:marRight w:val="0"/>
      <w:marTop w:val="0"/>
      <w:marBottom w:val="0"/>
      <w:divBdr>
        <w:top w:val="none" w:sz="0" w:space="0" w:color="auto"/>
        <w:left w:val="none" w:sz="0" w:space="0" w:color="auto"/>
        <w:bottom w:val="none" w:sz="0" w:space="0" w:color="auto"/>
        <w:right w:val="none" w:sz="0" w:space="0" w:color="auto"/>
      </w:divBdr>
    </w:div>
    <w:div w:id="2008945260">
      <w:bodyDiv w:val="1"/>
      <w:marLeft w:val="0"/>
      <w:marRight w:val="0"/>
      <w:marTop w:val="0"/>
      <w:marBottom w:val="0"/>
      <w:divBdr>
        <w:top w:val="none" w:sz="0" w:space="0" w:color="auto"/>
        <w:left w:val="none" w:sz="0" w:space="0" w:color="auto"/>
        <w:bottom w:val="none" w:sz="0" w:space="0" w:color="auto"/>
        <w:right w:val="none" w:sz="0" w:space="0" w:color="auto"/>
      </w:divBdr>
      <w:divsChild>
        <w:div w:id="400952">
          <w:marLeft w:val="0"/>
          <w:marRight w:val="0"/>
          <w:marTop w:val="0"/>
          <w:marBottom w:val="0"/>
          <w:divBdr>
            <w:top w:val="none" w:sz="0" w:space="0" w:color="auto"/>
            <w:left w:val="none" w:sz="0" w:space="0" w:color="auto"/>
            <w:bottom w:val="none" w:sz="0" w:space="0" w:color="auto"/>
            <w:right w:val="none" w:sz="0" w:space="0" w:color="auto"/>
          </w:divBdr>
        </w:div>
        <w:div w:id="45759588">
          <w:marLeft w:val="0"/>
          <w:marRight w:val="0"/>
          <w:marTop w:val="0"/>
          <w:marBottom w:val="0"/>
          <w:divBdr>
            <w:top w:val="none" w:sz="0" w:space="0" w:color="auto"/>
            <w:left w:val="none" w:sz="0" w:space="0" w:color="auto"/>
            <w:bottom w:val="none" w:sz="0" w:space="0" w:color="auto"/>
            <w:right w:val="none" w:sz="0" w:space="0" w:color="auto"/>
          </w:divBdr>
        </w:div>
        <w:div w:id="66617092">
          <w:marLeft w:val="0"/>
          <w:marRight w:val="0"/>
          <w:marTop w:val="0"/>
          <w:marBottom w:val="0"/>
          <w:divBdr>
            <w:top w:val="none" w:sz="0" w:space="0" w:color="auto"/>
            <w:left w:val="none" w:sz="0" w:space="0" w:color="auto"/>
            <w:bottom w:val="none" w:sz="0" w:space="0" w:color="auto"/>
            <w:right w:val="none" w:sz="0" w:space="0" w:color="auto"/>
          </w:divBdr>
        </w:div>
        <w:div w:id="103890114">
          <w:marLeft w:val="0"/>
          <w:marRight w:val="0"/>
          <w:marTop w:val="0"/>
          <w:marBottom w:val="0"/>
          <w:divBdr>
            <w:top w:val="none" w:sz="0" w:space="0" w:color="auto"/>
            <w:left w:val="none" w:sz="0" w:space="0" w:color="auto"/>
            <w:bottom w:val="none" w:sz="0" w:space="0" w:color="auto"/>
            <w:right w:val="none" w:sz="0" w:space="0" w:color="auto"/>
          </w:divBdr>
        </w:div>
        <w:div w:id="117965081">
          <w:marLeft w:val="0"/>
          <w:marRight w:val="0"/>
          <w:marTop w:val="0"/>
          <w:marBottom w:val="0"/>
          <w:divBdr>
            <w:top w:val="none" w:sz="0" w:space="0" w:color="auto"/>
            <w:left w:val="none" w:sz="0" w:space="0" w:color="auto"/>
            <w:bottom w:val="none" w:sz="0" w:space="0" w:color="auto"/>
            <w:right w:val="none" w:sz="0" w:space="0" w:color="auto"/>
          </w:divBdr>
        </w:div>
        <w:div w:id="165942513">
          <w:marLeft w:val="0"/>
          <w:marRight w:val="0"/>
          <w:marTop w:val="0"/>
          <w:marBottom w:val="0"/>
          <w:divBdr>
            <w:top w:val="none" w:sz="0" w:space="0" w:color="auto"/>
            <w:left w:val="none" w:sz="0" w:space="0" w:color="auto"/>
            <w:bottom w:val="none" w:sz="0" w:space="0" w:color="auto"/>
            <w:right w:val="none" w:sz="0" w:space="0" w:color="auto"/>
          </w:divBdr>
        </w:div>
        <w:div w:id="303463250">
          <w:marLeft w:val="0"/>
          <w:marRight w:val="0"/>
          <w:marTop w:val="0"/>
          <w:marBottom w:val="0"/>
          <w:divBdr>
            <w:top w:val="none" w:sz="0" w:space="0" w:color="auto"/>
            <w:left w:val="none" w:sz="0" w:space="0" w:color="auto"/>
            <w:bottom w:val="none" w:sz="0" w:space="0" w:color="auto"/>
            <w:right w:val="none" w:sz="0" w:space="0" w:color="auto"/>
          </w:divBdr>
        </w:div>
        <w:div w:id="333650805">
          <w:marLeft w:val="0"/>
          <w:marRight w:val="0"/>
          <w:marTop w:val="0"/>
          <w:marBottom w:val="0"/>
          <w:divBdr>
            <w:top w:val="none" w:sz="0" w:space="0" w:color="auto"/>
            <w:left w:val="none" w:sz="0" w:space="0" w:color="auto"/>
            <w:bottom w:val="none" w:sz="0" w:space="0" w:color="auto"/>
            <w:right w:val="none" w:sz="0" w:space="0" w:color="auto"/>
          </w:divBdr>
        </w:div>
        <w:div w:id="342320289">
          <w:marLeft w:val="0"/>
          <w:marRight w:val="0"/>
          <w:marTop w:val="0"/>
          <w:marBottom w:val="0"/>
          <w:divBdr>
            <w:top w:val="none" w:sz="0" w:space="0" w:color="auto"/>
            <w:left w:val="none" w:sz="0" w:space="0" w:color="auto"/>
            <w:bottom w:val="none" w:sz="0" w:space="0" w:color="auto"/>
            <w:right w:val="none" w:sz="0" w:space="0" w:color="auto"/>
          </w:divBdr>
        </w:div>
        <w:div w:id="423263247">
          <w:marLeft w:val="0"/>
          <w:marRight w:val="0"/>
          <w:marTop w:val="0"/>
          <w:marBottom w:val="0"/>
          <w:divBdr>
            <w:top w:val="none" w:sz="0" w:space="0" w:color="auto"/>
            <w:left w:val="none" w:sz="0" w:space="0" w:color="auto"/>
            <w:bottom w:val="none" w:sz="0" w:space="0" w:color="auto"/>
            <w:right w:val="none" w:sz="0" w:space="0" w:color="auto"/>
          </w:divBdr>
        </w:div>
        <w:div w:id="505021481">
          <w:marLeft w:val="0"/>
          <w:marRight w:val="0"/>
          <w:marTop w:val="0"/>
          <w:marBottom w:val="0"/>
          <w:divBdr>
            <w:top w:val="none" w:sz="0" w:space="0" w:color="auto"/>
            <w:left w:val="none" w:sz="0" w:space="0" w:color="auto"/>
            <w:bottom w:val="none" w:sz="0" w:space="0" w:color="auto"/>
            <w:right w:val="none" w:sz="0" w:space="0" w:color="auto"/>
          </w:divBdr>
        </w:div>
        <w:div w:id="659389459">
          <w:marLeft w:val="0"/>
          <w:marRight w:val="0"/>
          <w:marTop w:val="0"/>
          <w:marBottom w:val="0"/>
          <w:divBdr>
            <w:top w:val="none" w:sz="0" w:space="0" w:color="auto"/>
            <w:left w:val="none" w:sz="0" w:space="0" w:color="auto"/>
            <w:bottom w:val="none" w:sz="0" w:space="0" w:color="auto"/>
            <w:right w:val="none" w:sz="0" w:space="0" w:color="auto"/>
          </w:divBdr>
        </w:div>
        <w:div w:id="684475432">
          <w:marLeft w:val="0"/>
          <w:marRight w:val="0"/>
          <w:marTop w:val="0"/>
          <w:marBottom w:val="0"/>
          <w:divBdr>
            <w:top w:val="none" w:sz="0" w:space="0" w:color="auto"/>
            <w:left w:val="none" w:sz="0" w:space="0" w:color="auto"/>
            <w:bottom w:val="none" w:sz="0" w:space="0" w:color="auto"/>
            <w:right w:val="none" w:sz="0" w:space="0" w:color="auto"/>
          </w:divBdr>
        </w:div>
        <w:div w:id="689068903">
          <w:marLeft w:val="0"/>
          <w:marRight w:val="0"/>
          <w:marTop w:val="0"/>
          <w:marBottom w:val="0"/>
          <w:divBdr>
            <w:top w:val="none" w:sz="0" w:space="0" w:color="auto"/>
            <w:left w:val="none" w:sz="0" w:space="0" w:color="auto"/>
            <w:bottom w:val="none" w:sz="0" w:space="0" w:color="auto"/>
            <w:right w:val="none" w:sz="0" w:space="0" w:color="auto"/>
          </w:divBdr>
        </w:div>
        <w:div w:id="733703238">
          <w:marLeft w:val="0"/>
          <w:marRight w:val="0"/>
          <w:marTop w:val="0"/>
          <w:marBottom w:val="0"/>
          <w:divBdr>
            <w:top w:val="none" w:sz="0" w:space="0" w:color="auto"/>
            <w:left w:val="none" w:sz="0" w:space="0" w:color="auto"/>
            <w:bottom w:val="none" w:sz="0" w:space="0" w:color="auto"/>
            <w:right w:val="none" w:sz="0" w:space="0" w:color="auto"/>
          </w:divBdr>
        </w:div>
        <w:div w:id="776214322">
          <w:marLeft w:val="0"/>
          <w:marRight w:val="0"/>
          <w:marTop w:val="0"/>
          <w:marBottom w:val="0"/>
          <w:divBdr>
            <w:top w:val="none" w:sz="0" w:space="0" w:color="auto"/>
            <w:left w:val="none" w:sz="0" w:space="0" w:color="auto"/>
            <w:bottom w:val="none" w:sz="0" w:space="0" w:color="auto"/>
            <w:right w:val="none" w:sz="0" w:space="0" w:color="auto"/>
          </w:divBdr>
        </w:div>
        <w:div w:id="791481825">
          <w:marLeft w:val="0"/>
          <w:marRight w:val="0"/>
          <w:marTop w:val="0"/>
          <w:marBottom w:val="0"/>
          <w:divBdr>
            <w:top w:val="none" w:sz="0" w:space="0" w:color="auto"/>
            <w:left w:val="none" w:sz="0" w:space="0" w:color="auto"/>
            <w:bottom w:val="none" w:sz="0" w:space="0" w:color="auto"/>
            <w:right w:val="none" w:sz="0" w:space="0" w:color="auto"/>
          </w:divBdr>
        </w:div>
        <w:div w:id="801926107">
          <w:marLeft w:val="0"/>
          <w:marRight w:val="0"/>
          <w:marTop w:val="0"/>
          <w:marBottom w:val="0"/>
          <w:divBdr>
            <w:top w:val="none" w:sz="0" w:space="0" w:color="auto"/>
            <w:left w:val="none" w:sz="0" w:space="0" w:color="auto"/>
            <w:bottom w:val="none" w:sz="0" w:space="0" w:color="auto"/>
            <w:right w:val="none" w:sz="0" w:space="0" w:color="auto"/>
          </w:divBdr>
        </w:div>
        <w:div w:id="853879195">
          <w:marLeft w:val="0"/>
          <w:marRight w:val="0"/>
          <w:marTop w:val="0"/>
          <w:marBottom w:val="0"/>
          <w:divBdr>
            <w:top w:val="none" w:sz="0" w:space="0" w:color="auto"/>
            <w:left w:val="none" w:sz="0" w:space="0" w:color="auto"/>
            <w:bottom w:val="none" w:sz="0" w:space="0" w:color="auto"/>
            <w:right w:val="none" w:sz="0" w:space="0" w:color="auto"/>
          </w:divBdr>
        </w:div>
        <w:div w:id="1006131903">
          <w:marLeft w:val="0"/>
          <w:marRight w:val="0"/>
          <w:marTop w:val="0"/>
          <w:marBottom w:val="0"/>
          <w:divBdr>
            <w:top w:val="none" w:sz="0" w:space="0" w:color="auto"/>
            <w:left w:val="none" w:sz="0" w:space="0" w:color="auto"/>
            <w:bottom w:val="none" w:sz="0" w:space="0" w:color="auto"/>
            <w:right w:val="none" w:sz="0" w:space="0" w:color="auto"/>
          </w:divBdr>
        </w:div>
        <w:div w:id="1135443872">
          <w:marLeft w:val="0"/>
          <w:marRight w:val="0"/>
          <w:marTop w:val="0"/>
          <w:marBottom w:val="0"/>
          <w:divBdr>
            <w:top w:val="none" w:sz="0" w:space="0" w:color="auto"/>
            <w:left w:val="none" w:sz="0" w:space="0" w:color="auto"/>
            <w:bottom w:val="none" w:sz="0" w:space="0" w:color="auto"/>
            <w:right w:val="none" w:sz="0" w:space="0" w:color="auto"/>
          </w:divBdr>
        </w:div>
        <w:div w:id="1215194658">
          <w:marLeft w:val="0"/>
          <w:marRight w:val="0"/>
          <w:marTop w:val="0"/>
          <w:marBottom w:val="0"/>
          <w:divBdr>
            <w:top w:val="none" w:sz="0" w:space="0" w:color="auto"/>
            <w:left w:val="none" w:sz="0" w:space="0" w:color="auto"/>
            <w:bottom w:val="none" w:sz="0" w:space="0" w:color="auto"/>
            <w:right w:val="none" w:sz="0" w:space="0" w:color="auto"/>
          </w:divBdr>
        </w:div>
        <w:div w:id="1384408368">
          <w:marLeft w:val="0"/>
          <w:marRight w:val="0"/>
          <w:marTop w:val="0"/>
          <w:marBottom w:val="0"/>
          <w:divBdr>
            <w:top w:val="none" w:sz="0" w:space="0" w:color="auto"/>
            <w:left w:val="none" w:sz="0" w:space="0" w:color="auto"/>
            <w:bottom w:val="none" w:sz="0" w:space="0" w:color="auto"/>
            <w:right w:val="none" w:sz="0" w:space="0" w:color="auto"/>
          </w:divBdr>
        </w:div>
        <w:div w:id="1473597814">
          <w:marLeft w:val="0"/>
          <w:marRight w:val="0"/>
          <w:marTop w:val="0"/>
          <w:marBottom w:val="0"/>
          <w:divBdr>
            <w:top w:val="none" w:sz="0" w:space="0" w:color="auto"/>
            <w:left w:val="none" w:sz="0" w:space="0" w:color="auto"/>
            <w:bottom w:val="none" w:sz="0" w:space="0" w:color="auto"/>
            <w:right w:val="none" w:sz="0" w:space="0" w:color="auto"/>
          </w:divBdr>
        </w:div>
        <w:div w:id="1560629914">
          <w:marLeft w:val="0"/>
          <w:marRight w:val="0"/>
          <w:marTop w:val="0"/>
          <w:marBottom w:val="0"/>
          <w:divBdr>
            <w:top w:val="none" w:sz="0" w:space="0" w:color="auto"/>
            <w:left w:val="none" w:sz="0" w:space="0" w:color="auto"/>
            <w:bottom w:val="none" w:sz="0" w:space="0" w:color="auto"/>
            <w:right w:val="none" w:sz="0" w:space="0" w:color="auto"/>
          </w:divBdr>
        </w:div>
        <w:div w:id="1827437456">
          <w:marLeft w:val="0"/>
          <w:marRight w:val="0"/>
          <w:marTop w:val="0"/>
          <w:marBottom w:val="0"/>
          <w:divBdr>
            <w:top w:val="none" w:sz="0" w:space="0" w:color="auto"/>
            <w:left w:val="none" w:sz="0" w:space="0" w:color="auto"/>
            <w:bottom w:val="none" w:sz="0" w:space="0" w:color="auto"/>
            <w:right w:val="none" w:sz="0" w:space="0" w:color="auto"/>
          </w:divBdr>
        </w:div>
        <w:div w:id="1896039423">
          <w:marLeft w:val="0"/>
          <w:marRight w:val="0"/>
          <w:marTop w:val="0"/>
          <w:marBottom w:val="0"/>
          <w:divBdr>
            <w:top w:val="none" w:sz="0" w:space="0" w:color="auto"/>
            <w:left w:val="none" w:sz="0" w:space="0" w:color="auto"/>
            <w:bottom w:val="none" w:sz="0" w:space="0" w:color="auto"/>
            <w:right w:val="none" w:sz="0" w:space="0" w:color="auto"/>
          </w:divBdr>
        </w:div>
        <w:div w:id="1965844292">
          <w:marLeft w:val="0"/>
          <w:marRight w:val="0"/>
          <w:marTop w:val="0"/>
          <w:marBottom w:val="0"/>
          <w:divBdr>
            <w:top w:val="none" w:sz="0" w:space="0" w:color="auto"/>
            <w:left w:val="none" w:sz="0" w:space="0" w:color="auto"/>
            <w:bottom w:val="none" w:sz="0" w:space="0" w:color="auto"/>
            <w:right w:val="none" w:sz="0" w:space="0" w:color="auto"/>
          </w:divBdr>
        </w:div>
        <w:div w:id="2021928163">
          <w:marLeft w:val="0"/>
          <w:marRight w:val="0"/>
          <w:marTop w:val="0"/>
          <w:marBottom w:val="0"/>
          <w:divBdr>
            <w:top w:val="none" w:sz="0" w:space="0" w:color="auto"/>
            <w:left w:val="none" w:sz="0" w:space="0" w:color="auto"/>
            <w:bottom w:val="none" w:sz="0" w:space="0" w:color="auto"/>
            <w:right w:val="none" w:sz="0" w:space="0" w:color="auto"/>
          </w:divBdr>
        </w:div>
        <w:div w:id="2067024310">
          <w:marLeft w:val="0"/>
          <w:marRight w:val="0"/>
          <w:marTop w:val="0"/>
          <w:marBottom w:val="0"/>
          <w:divBdr>
            <w:top w:val="none" w:sz="0" w:space="0" w:color="auto"/>
            <w:left w:val="none" w:sz="0" w:space="0" w:color="auto"/>
            <w:bottom w:val="none" w:sz="0" w:space="0" w:color="auto"/>
            <w:right w:val="none" w:sz="0" w:space="0" w:color="auto"/>
          </w:divBdr>
        </w:div>
        <w:div w:id="2082750840">
          <w:marLeft w:val="0"/>
          <w:marRight w:val="0"/>
          <w:marTop w:val="0"/>
          <w:marBottom w:val="0"/>
          <w:divBdr>
            <w:top w:val="none" w:sz="0" w:space="0" w:color="auto"/>
            <w:left w:val="none" w:sz="0" w:space="0" w:color="auto"/>
            <w:bottom w:val="none" w:sz="0" w:space="0" w:color="auto"/>
            <w:right w:val="none" w:sz="0" w:space="0" w:color="auto"/>
          </w:divBdr>
        </w:div>
      </w:divsChild>
    </w:div>
    <w:div w:id="2010716250">
      <w:marLeft w:val="0"/>
      <w:marRight w:val="0"/>
      <w:marTop w:val="0"/>
      <w:marBottom w:val="0"/>
      <w:divBdr>
        <w:top w:val="none" w:sz="0" w:space="0" w:color="auto"/>
        <w:left w:val="none" w:sz="0" w:space="0" w:color="auto"/>
        <w:bottom w:val="none" w:sz="0" w:space="0" w:color="auto"/>
        <w:right w:val="none" w:sz="0" w:space="0" w:color="auto"/>
      </w:divBdr>
      <w:divsChild>
        <w:div w:id="1956905020">
          <w:marLeft w:val="0"/>
          <w:marRight w:val="0"/>
          <w:marTop w:val="0"/>
          <w:marBottom w:val="0"/>
          <w:divBdr>
            <w:top w:val="none" w:sz="0" w:space="0" w:color="auto"/>
            <w:left w:val="none" w:sz="0" w:space="0" w:color="auto"/>
            <w:bottom w:val="none" w:sz="0" w:space="0" w:color="auto"/>
            <w:right w:val="none" w:sz="0" w:space="0" w:color="auto"/>
          </w:divBdr>
        </w:div>
      </w:divsChild>
    </w:div>
    <w:div w:id="2035571610">
      <w:bodyDiv w:val="1"/>
      <w:marLeft w:val="0"/>
      <w:marRight w:val="0"/>
      <w:marTop w:val="0"/>
      <w:marBottom w:val="0"/>
      <w:divBdr>
        <w:top w:val="none" w:sz="0" w:space="0" w:color="auto"/>
        <w:left w:val="none" w:sz="0" w:space="0" w:color="auto"/>
        <w:bottom w:val="none" w:sz="0" w:space="0" w:color="auto"/>
        <w:right w:val="none" w:sz="0" w:space="0" w:color="auto"/>
      </w:divBdr>
    </w:div>
    <w:div w:id="2091197346">
      <w:marLeft w:val="0"/>
      <w:marRight w:val="0"/>
      <w:marTop w:val="0"/>
      <w:marBottom w:val="0"/>
      <w:divBdr>
        <w:top w:val="none" w:sz="0" w:space="0" w:color="auto"/>
        <w:left w:val="none" w:sz="0" w:space="0" w:color="auto"/>
        <w:bottom w:val="none" w:sz="0" w:space="0" w:color="auto"/>
        <w:right w:val="none" w:sz="0" w:space="0" w:color="auto"/>
      </w:divBdr>
      <w:divsChild>
        <w:div w:id="1661613950">
          <w:marLeft w:val="0"/>
          <w:marRight w:val="0"/>
          <w:marTop w:val="0"/>
          <w:marBottom w:val="0"/>
          <w:divBdr>
            <w:top w:val="none" w:sz="0" w:space="0" w:color="auto"/>
            <w:left w:val="none" w:sz="0" w:space="0" w:color="auto"/>
            <w:bottom w:val="none" w:sz="0" w:space="0" w:color="auto"/>
            <w:right w:val="none" w:sz="0" w:space="0" w:color="auto"/>
          </w:divBdr>
        </w:div>
      </w:divsChild>
    </w:div>
    <w:div w:id="2096780359">
      <w:bodyDiv w:val="1"/>
      <w:marLeft w:val="0"/>
      <w:marRight w:val="0"/>
      <w:marTop w:val="0"/>
      <w:marBottom w:val="0"/>
      <w:divBdr>
        <w:top w:val="none" w:sz="0" w:space="0" w:color="auto"/>
        <w:left w:val="none" w:sz="0" w:space="0" w:color="auto"/>
        <w:bottom w:val="none" w:sz="0" w:space="0" w:color="auto"/>
        <w:right w:val="none" w:sz="0" w:space="0" w:color="auto"/>
      </w:divBdr>
    </w:div>
    <w:div w:id="2103181499">
      <w:marLeft w:val="0"/>
      <w:marRight w:val="0"/>
      <w:marTop w:val="0"/>
      <w:marBottom w:val="0"/>
      <w:divBdr>
        <w:top w:val="none" w:sz="0" w:space="0" w:color="auto"/>
        <w:left w:val="none" w:sz="0" w:space="0" w:color="auto"/>
        <w:bottom w:val="none" w:sz="0" w:space="0" w:color="auto"/>
        <w:right w:val="none" w:sz="0" w:space="0" w:color="auto"/>
      </w:divBdr>
      <w:divsChild>
        <w:div w:id="498498221">
          <w:marLeft w:val="0"/>
          <w:marRight w:val="0"/>
          <w:marTop w:val="0"/>
          <w:marBottom w:val="0"/>
          <w:divBdr>
            <w:top w:val="none" w:sz="0" w:space="0" w:color="auto"/>
            <w:left w:val="none" w:sz="0" w:space="0" w:color="auto"/>
            <w:bottom w:val="none" w:sz="0" w:space="0" w:color="auto"/>
            <w:right w:val="none" w:sz="0" w:space="0" w:color="auto"/>
          </w:divBdr>
        </w:div>
      </w:divsChild>
    </w:div>
    <w:div w:id="2125034517">
      <w:marLeft w:val="0"/>
      <w:marRight w:val="0"/>
      <w:marTop w:val="0"/>
      <w:marBottom w:val="0"/>
      <w:divBdr>
        <w:top w:val="none" w:sz="0" w:space="0" w:color="auto"/>
        <w:left w:val="none" w:sz="0" w:space="0" w:color="auto"/>
        <w:bottom w:val="none" w:sz="0" w:space="0" w:color="auto"/>
        <w:right w:val="none" w:sz="0" w:space="0" w:color="auto"/>
      </w:divBdr>
      <w:divsChild>
        <w:div w:id="1819568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hyperlink" Target="https://www.nhmrc.gov.au/about-us/resources/impact-case-studies/history-tuberculosis-control-australia" TargetMode="External"/><Relationship Id="rId42" Type="http://schemas.openxmlformats.org/officeDocument/2006/relationships/header" Target="header2.xml"/><Relationship Id="rId47" Type="http://schemas.openxmlformats.org/officeDocument/2006/relationships/header" Target="header4.xml"/><Relationship Id="rId50" Type="http://schemas.openxmlformats.org/officeDocument/2006/relationships/hyperlink" Target="https://www.nswtag.org.au/wp-content/uploads/2025/07/Cumulative-Listing-July_Dec-2025.pdf" TargetMode="External"/><Relationship Id="rId55" Type="http://schemas.openxmlformats.org/officeDocument/2006/relationships/hyperlink" Target="https://research.qut.edu.au/ciic/2023/08/09/nhmrc-recognition-for-auspollen-partnership-led-by-professor-janet-davies/"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eader" Target="header3.xml"/><Relationship Id="rId53" Type="http://schemas.openxmlformats.org/officeDocument/2006/relationships/hyperlink" Target="https://research.sahmri.org.au/en/prizes/nhmrc-impact-case-study-preterm-births-and-omega-3/" TargetMode="External"/><Relationship Id="rId58" Type="http://schemas.openxmlformats.org/officeDocument/2006/relationships/hyperlink" Target="https://www.qut.edu.au/about/our-people/academic-profiles/j36.davies" TargetMode="External"/><Relationship Id="rId5" Type="http://schemas.openxmlformats.org/officeDocument/2006/relationships/webSettings" Target="webSettings.xml"/><Relationship Id="rId61" Type="http://schemas.openxmlformats.org/officeDocument/2006/relationships/hyperlink" Target="https://g-i-n.net/event/guidelines-and-impact-the-art-of-storytelling" TargetMode="External"/><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hyperlink" Target="https://www.nhmrc.gov.au/about-us/news-centre" TargetMode="External"/><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collections.museumsvictoria.com.au/articles/16869" TargetMode="External"/><Relationship Id="rId43" Type="http://schemas.openxmlformats.org/officeDocument/2006/relationships/footer" Target="footer1.xml"/><Relationship Id="rId48" Type="http://schemas.openxmlformats.org/officeDocument/2006/relationships/hyperlink" Target="https://www.eoas.info/bib/ASBS14218.htm" TargetMode="External"/><Relationship Id="rId56" Type="http://schemas.openxmlformats.org/officeDocument/2006/relationships/hyperlink" Target="https://stip.oecd.org/stip/interactive-dashboards/policy-initiatives/2023%2Fdata%2FpolicyInitiatives%2F99991968"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acu.edu.au/about-acu/institutes-academies-and-centres/nursing-research-institute/our-projects/quality-in-acute-stroke-care-qasc/impact-and-engagement"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aihw.gov.au/reports-data/population-groups" TargetMode="Externa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5.png"/><Relationship Id="rId46" Type="http://schemas.openxmlformats.org/officeDocument/2006/relationships/footer" Target="footer3.xml"/><Relationship Id="rId59" Type="http://schemas.openxmlformats.org/officeDocument/2006/relationships/hyperlink" Target="https://healthtranslationsa.org.au/wp-content/uploads/2023/05/Spotlight-Series-Research-Impact_Content-Summary.pdf" TargetMode="External"/><Relationship Id="rId20" Type="http://schemas.openxmlformats.org/officeDocument/2006/relationships/image" Target="media/image11.png"/><Relationship Id="rId41" Type="http://schemas.openxmlformats.org/officeDocument/2006/relationships/header" Target="header1.xml"/><Relationship Id="rId54" Type="http://schemas.openxmlformats.org/officeDocument/2006/relationships/hyperlink" Target="https://www.allergy.org.au/about-ascia/info-updates/auspollen-partnership-impact-case-study-published-by-nhmrc?highlight=WyJhIl0=" TargetMode="External"/><Relationship Id="rId62" Type="http://schemas.openxmlformats.org/officeDocument/2006/relationships/hyperlink" Target="https://biomedicalsciences.unimelb.edu.au/news-and-events/archive-news/life-saving-work-of-venom-unit-highlighted-in-nhmrc-case-stud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www.nhmrc.gov.au/about-us/publications/draft-national-health-and-medical-research-strategy/" TargetMode="External"/><Relationship Id="rId49" Type="http://schemas.openxmlformats.org/officeDocument/2006/relationships/hyperlink" Target="https://www.mq.edu.au/research/research-centres-groups-and-facilities/centres/lifespan-health-and-wellbeing/news-and-events/news/global-recognition-for-cool-kids-program" TargetMode="External"/><Relationship Id="rId57" Type="http://schemas.openxmlformats.org/officeDocument/2006/relationships/hyperlink" Target="https://www.researchmanagement.org.au/events/pd-sessions-zoom-impact-stuff-dreams-are-made" TargetMode="External"/><Relationship Id="rId10" Type="http://schemas.openxmlformats.org/officeDocument/2006/relationships/image" Target="media/image2.jpg"/><Relationship Id="rId31" Type="http://schemas.openxmlformats.org/officeDocument/2006/relationships/image" Target="media/image21.png"/><Relationship Id="rId44" Type="http://schemas.openxmlformats.org/officeDocument/2006/relationships/footer" Target="footer2.xml"/><Relationship Id="rId52" Type="http://schemas.openxmlformats.org/officeDocument/2006/relationships/hyperlink" Target="https://www.unsw.edu.au/news/2024/07/nhmrc-have-released-an-impact-case-study-exploring-the-improved-" TargetMode="External"/><Relationship Id="rId60" Type="http://schemas.openxmlformats.org/officeDocument/2006/relationships/hyperlink" Target="https://cahs.health.wa.gov.au/-/media/HSPs/CAHS/Documents/Research/ResearchEducationProgram/2021-Handouts/20211119HANDOUTResearchImpact" TargetMode="External"/><Relationship Id="rId4" Type="http://schemas.openxmlformats.org/officeDocument/2006/relationships/settings" Target="settings.xml"/><Relationship Id="rId9" Type="http://schemas.openxmlformats.org/officeDocument/2006/relationships/hyperlink" Target="https://www.nhmrc.gov.au/about-us/resources/impact-case-studies/foundation-neuroscienc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9.png"/></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s>
</file>

<file path=word/_rels/footnotes.xml.rels><?xml version="1.0" encoding="UTF-8" standalone="yes"?>
<Relationships xmlns="http://schemas.openxmlformats.org/package/2006/relationships"><Relationship Id="rId1" Type="http://schemas.openxmlformats.org/officeDocument/2006/relationships/hyperlink" Target="https://www.abs.gov.au/statistics/people/population/national-state-and-territory-population/latest-relea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_rels/header3.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30.png"/></Relationships>
</file>

<file path=word/_rels/header4.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5320</Words>
  <Characters>29420</Characters>
  <Application>Microsoft Office Word</Application>
  <DocSecurity>0</DocSecurity>
  <Lines>891</Lines>
  <Paragraphs>723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34017</CharactersWithSpaces>
  <SharedDoc>false</SharedDoc>
  <HLinks>
    <vt:vector size="372" baseType="variant">
      <vt:variant>
        <vt:i4>1769489</vt:i4>
      </vt:variant>
      <vt:variant>
        <vt:i4>273</vt:i4>
      </vt:variant>
      <vt:variant>
        <vt:i4>0</vt:i4>
      </vt:variant>
      <vt:variant>
        <vt:i4>5</vt:i4>
      </vt:variant>
      <vt:variant>
        <vt:lpwstr>https://biomedicalsciences.unimelb.edu.au/news-and-events/archive-news/life-saving-work-of-venom-unit-highlighted-in-nhmrc-case-study</vt:lpwstr>
      </vt:variant>
      <vt:variant>
        <vt:lpwstr/>
      </vt:variant>
      <vt:variant>
        <vt:i4>917518</vt:i4>
      </vt:variant>
      <vt:variant>
        <vt:i4>270</vt:i4>
      </vt:variant>
      <vt:variant>
        <vt:i4>0</vt:i4>
      </vt:variant>
      <vt:variant>
        <vt:i4>5</vt:i4>
      </vt:variant>
      <vt:variant>
        <vt:lpwstr>https://g-i-n.net/event/guidelines-and-impact-the-art-of-storytelling</vt:lpwstr>
      </vt:variant>
      <vt:variant>
        <vt:lpwstr/>
      </vt:variant>
      <vt:variant>
        <vt:i4>6619249</vt:i4>
      </vt:variant>
      <vt:variant>
        <vt:i4>267</vt:i4>
      </vt:variant>
      <vt:variant>
        <vt:i4>0</vt:i4>
      </vt:variant>
      <vt:variant>
        <vt:i4>5</vt:i4>
      </vt:variant>
      <vt:variant>
        <vt:lpwstr>https://cahs.health.wa.gov.au/-/media/HSPs/CAHS/Documents/Research/ResearchEducationProgram/2021-Handouts/20211119HANDOUTResearchImpact</vt:lpwstr>
      </vt:variant>
      <vt:variant>
        <vt:lpwstr/>
      </vt:variant>
      <vt:variant>
        <vt:i4>2752522</vt:i4>
      </vt:variant>
      <vt:variant>
        <vt:i4>264</vt:i4>
      </vt:variant>
      <vt:variant>
        <vt:i4>0</vt:i4>
      </vt:variant>
      <vt:variant>
        <vt:i4>5</vt:i4>
      </vt:variant>
      <vt:variant>
        <vt:lpwstr>https://healthtranslationsa.org.au/wp-content/uploads/2023/05/Spotlight-Series-Research-Impact_Content-Summary.pdf</vt:lpwstr>
      </vt:variant>
      <vt:variant>
        <vt:lpwstr/>
      </vt:variant>
      <vt:variant>
        <vt:i4>4456458</vt:i4>
      </vt:variant>
      <vt:variant>
        <vt:i4>261</vt:i4>
      </vt:variant>
      <vt:variant>
        <vt:i4>0</vt:i4>
      </vt:variant>
      <vt:variant>
        <vt:i4>5</vt:i4>
      </vt:variant>
      <vt:variant>
        <vt:lpwstr>https://www.qut.edu.au/about/our-people/academic-profiles/j36.davies</vt:lpwstr>
      </vt:variant>
      <vt:variant>
        <vt:lpwstr/>
      </vt:variant>
      <vt:variant>
        <vt:i4>6684721</vt:i4>
      </vt:variant>
      <vt:variant>
        <vt:i4>258</vt:i4>
      </vt:variant>
      <vt:variant>
        <vt:i4>0</vt:i4>
      </vt:variant>
      <vt:variant>
        <vt:i4>5</vt:i4>
      </vt:variant>
      <vt:variant>
        <vt:lpwstr>https://www.researchmanagement.org.au/events/pd-sessions-zoom-impact-stuff-dreams-are-made</vt:lpwstr>
      </vt:variant>
      <vt:variant>
        <vt:lpwstr/>
      </vt:variant>
      <vt:variant>
        <vt:i4>7667824</vt:i4>
      </vt:variant>
      <vt:variant>
        <vt:i4>255</vt:i4>
      </vt:variant>
      <vt:variant>
        <vt:i4>0</vt:i4>
      </vt:variant>
      <vt:variant>
        <vt:i4>5</vt:i4>
      </vt:variant>
      <vt:variant>
        <vt:lpwstr>https://stip.oecd.org/stip/interactive-dashboards/policy-initiatives/2023%2Fdata%2FpolicyInitiatives%2F99991968</vt:lpwstr>
      </vt:variant>
      <vt:variant>
        <vt:lpwstr/>
      </vt:variant>
      <vt:variant>
        <vt:i4>7405612</vt:i4>
      </vt:variant>
      <vt:variant>
        <vt:i4>252</vt:i4>
      </vt:variant>
      <vt:variant>
        <vt:i4>0</vt:i4>
      </vt:variant>
      <vt:variant>
        <vt:i4>5</vt:i4>
      </vt:variant>
      <vt:variant>
        <vt:lpwstr>https://research.qut.edu.au/ciic/2023/08/09/nhmrc-recognition-for-auspollen-partnership-led-by-professor-janet-davies/</vt:lpwstr>
      </vt:variant>
      <vt:variant>
        <vt:lpwstr/>
      </vt:variant>
      <vt:variant>
        <vt:i4>5242896</vt:i4>
      </vt:variant>
      <vt:variant>
        <vt:i4>249</vt:i4>
      </vt:variant>
      <vt:variant>
        <vt:i4>0</vt:i4>
      </vt:variant>
      <vt:variant>
        <vt:i4>5</vt:i4>
      </vt:variant>
      <vt:variant>
        <vt:lpwstr>https://www.allergy.org.au/about-ascia/info-updates/auspollen-partnership-impact-case-study-published-by-nhmrc?highlight=WyJhIl0=</vt:lpwstr>
      </vt:variant>
      <vt:variant>
        <vt:lpwstr/>
      </vt:variant>
      <vt:variant>
        <vt:i4>1769558</vt:i4>
      </vt:variant>
      <vt:variant>
        <vt:i4>246</vt:i4>
      </vt:variant>
      <vt:variant>
        <vt:i4>0</vt:i4>
      </vt:variant>
      <vt:variant>
        <vt:i4>5</vt:i4>
      </vt:variant>
      <vt:variant>
        <vt:lpwstr>https://research.sahmri.org.au/en/prizes/nhmrc-impact-case-study-preterm-births-and-omega-3/</vt:lpwstr>
      </vt:variant>
      <vt:variant>
        <vt:lpwstr/>
      </vt:variant>
      <vt:variant>
        <vt:i4>1835082</vt:i4>
      </vt:variant>
      <vt:variant>
        <vt:i4>243</vt:i4>
      </vt:variant>
      <vt:variant>
        <vt:i4>0</vt:i4>
      </vt:variant>
      <vt:variant>
        <vt:i4>5</vt:i4>
      </vt:variant>
      <vt:variant>
        <vt:lpwstr>https://www.unsw.edu.au/news/2024/07/nhmrc-have-released-an-impact-case-study-exploring-the-improved-</vt:lpwstr>
      </vt:variant>
      <vt:variant>
        <vt:lpwstr/>
      </vt:variant>
      <vt:variant>
        <vt:i4>655391</vt:i4>
      </vt:variant>
      <vt:variant>
        <vt:i4>240</vt:i4>
      </vt:variant>
      <vt:variant>
        <vt:i4>0</vt:i4>
      </vt:variant>
      <vt:variant>
        <vt:i4>5</vt:i4>
      </vt:variant>
      <vt:variant>
        <vt:lpwstr>https://www.acu.edu.au/about-acu/institutes-academies-and-centres/nursing-research-institute/our-projects/quality-in-acute-stroke-care-qasc/impact-and-engagement</vt:lpwstr>
      </vt:variant>
      <vt:variant>
        <vt:lpwstr/>
      </vt:variant>
      <vt:variant>
        <vt:i4>4391017</vt:i4>
      </vt:variant>
      <vt:variant>
        <vt:i4>237</vt:i4>
      </vt:variant>
      <vt:variant>
        <vt:i4>0</vt:i4>
      </vt:variant>
      <vt:variant>
        <vt:i4>5</vt:i4>
      </vt:variant>
      <vt:variant>
        <vt:lpwstr>https://www.nswtag.org.au/wp-content/uploads/2025/07/Cumulative-Listing-July_Dec-2025.pdf</vt:lpwstr>
      </vt:variant>
      <vt:variant>
        <vt:lpwstr/>
      </vt:variant>
      <vt:variant>
        <vt:i4>262227</vt:i4>
      </vt:variant>
      <vt:variant>
        <vt:i4>234</vt:i4>
      </vt:variant>
      <vt:variant>
        <vt:i4>0</vt:i4>
      </vt:variant>
      <vt:variant>
        <vt:i4>5</vt:i4>
      </vt:variant>
      <vt:variant>
        <vt:lpwstr>https://www.mq.edu.au/research/research-centres-groups-and-facilities/centres/lifespan-health-and-wellbeing/news-and-events/news/global-recognition-for-cool-kids-program</vt:lpwstr>
      </vt:variant>
      <vt:variant>
        <vt:lpwstr/>
      </vt:variant>
      <vt:variant>
        <vt:i4>7143483</vt:i4>
      </vt:variant>
      <vt:variant>
        <vt:i4>231</vt:i4>
      </vt:variant>
      <vt:variant>
        <vt:i4>0</vt:i4>
      </vt:variant>
      <vt:variant>
        <vt:i4>5</vt:i4>
      </vt:variant>
      <vt:variant>
        <vt:lpwstr>https://www.eoas.info/bib/ASBS14218.htm</vt:lpwstr>
      </vt:variant>
      <vt:variant>
        <vt:lpwstr/>
      </vt:variant>
      <vt:variant>
        <vt:i4>4980742</vt:i4>
      </vt:variant>
      <vt:variant>
        <vt:i4>228</vt:i4>
      </vt:variant>
      <vt:variant>
        <vt:i4>0</vt:i4>
      </vt:variant>
      <vt:variant>
        <vt:i4>5</vt:i4>
      </vt:variant>
      <vt:variant>
        <vt:lpwstr>https://www.nhmrc.gov.au/about-us/who-we-are</vt:lpwstr>
      </vt:variant>
      <vt:variant>
        <vt:lpwstr/>
      </vt:variant>
      <vt:variant>
        <vt:i4>5242969</vt:i4>
      </vt:variant>
      <vt:variant>
        <vt:i4>225</vt:i4>
      </vt:variant>
      <vt:variant>
        <vt:i4>0</vt:i4>
      </vt:variant>
      <vt:variant>
        <vt:i4>5</vt:i4>
      </vt:variant>
      <vt:variant>
        <vt:lpwstr>https://www.nhmrc.gov.au/about-us/publications/research-impact-track-record-assessment-ritra-framework-evaluation-report</vt:lpwstr>
      </vt:variant>
      <vt:variant>
        <vt:lpwstr/>
      </vt:variant>
      <vt:variant>
        <vt:i4>3866728</vt:i4>
      </vt:variant>
      <vt:variant>
        <vt:i4>222</vt:i4>
      </vt:variant>
      <vt:variant>
        <vt:i4>0</vt:i4>
      </vt:variant>
      <vt:variant>
        <vt:i4>5</vt:i4>
      </vt:variant>
      <vt:variant>
        <vt:lpwstr>https://nhmrc.sharepoint.com/:b:/s/corpmgt/IQCJ7MbgeTk2Q6cziUUv2p9pASsACJQo8_lJBHQ_0aveqF8?e=dY6q7T</vt:lpwstr>
      </vt:variant>
      <vt:variant>
        <vt:lpwstr/>
      </vt:variant>
      <vt:variant>
        <vt:i4>7602283</vt:i4>
      </vt:variant>
      <vt:variant>
        <vt:i4>219</vt:i4>
      </vt:variant>
      <vt:variant>
        <vt:i4>0</vt:i4>
      </vt:variant>
      <vt:variant>
        <vt:i4>5</vt:i4>
      </vt:variant>
      <vt:variant>
        <vt:lpwstr>https://www.aihw.gov.au/reports-data/population-groups</vt:lpwstr>
      </vt:variant>
      <vt:variant>
        <vt:lpwstr/>
      </vt:variant>
      <vt:variant>
        <vt:i4>1048601</vt:i4>
      </vt:variant>
      <vt:variant>
        <vt:i4>216</vt:i4>
      </vt:variant>
      <vt:variant>
        <vt:i4>0</vt:i4>
      </vt:variant>
      <vt:variant>
        <vt:i4>5</vt:i4>
      </vt:variant>
      <vt:variant>
        <vt:lpwstr>https://collections.museumsvictoria.com.au/articles/16869</vt:lpwstr>
      </vt:variant>
      <vt:variant>
        <vt:lpwstr/>
      </vt:variant>
      <vt:variant>
        <vt:i4>6684794</vt:i4>
      </vt:variant>
      <vt:variant>
        <vt:i4>213</vt:i4>
      </vt:variant>
      <vt:variant>
        <vt:i4>0</vt:i4>
      </vt:variant>
      <vt:variant>
        <vt:i4>5</vt:i4>
      </vt:variant>
      <vt:variant>
        <vt:lpwstr>https://www.nhmrc.gov.au/about-us/resources/impact-case-studies/history-tuberculosis-control-australia</vt:lpwstr>
      </vt:variant>
      <vt:variant>
        <vt:lpwstr/>
      </vt:variant>
      <vt:variant>
        <vt:i4>6946926</vt:i4>
      </vt:variant>
      <vt:variant>
        <vt:i4>210</vt:i4>
      </vt:variant>
      <vt:variant>
        <vt:i4>0</vt:i4>
      </vt:variant>
      <vt:variant>
        <vt:i4>5</vt:i4>
      </vt:variant>
      <vt:variant>
        <vt:lpwstr>https://www.nhmrc.gov.au/about-us/resources/impact-case-studies</vt:lpwstr>
      </vt:variant>
      <vt:variant>
        <vt:lpwstr/>
      </vt:variant>
      <vt:variant>
        <vt:i4>1310812</vt:i4>
      </vt:variant>
      <vt:variant>
        <vt:i4>207</vt:i4>
      </vt:variant>
      <vt:variant>
        <vt:i4>0</vt:i4>
      </vt:variant>
      <vt:variant>
        <vt:i4>5</vt:i4>
      </vt:variant>
      <vt:variant>
        <vt:lpwstr>https://www.nhmrc.gov.au/about-us/evaluation</vt:lpwstr>
      </vt:variant>
      <vt:variant>
        <vt:lpwstr/>
      </vt:variant>
      <vt:variant>
        <vt:i4>4980742</vt:i4>
      </vt:variant>
      <vt:variant>
        <vt:i4>204</vt:i4>
      </vt:variant>
      <vt:variant>
        <vt:i4>0</vt:i4>
      </vt:variant>
      <vt:variant>
        <vt:i4>5</vt:i4>
      </vt:variant>
      <vt:variant>
        <vt:lpwstr>https://www.nhmrc.gov.au/about-us/who-we-are</vt:lpwstr>
      </vt:variant>
      <vt:variant>
        <vt:lpwstr/>
      </vt:variant>
      <vt:variant>
        <vt:i4>4980742</vt:i4>
      </vt:variant>
      <vt:variant>
        <vt:i4>201</vt:i4>
      </vt:variant>
      <vt:variant>
        <vt:i4>0</vt:i4>
      </vt:variant>
      <vt:variant>
        <vt:i4>5</vt:i4>
      </vt:variant>
      <vt:variant>
        <vt:lpwstr>https://www.nhmrc.gov.au/about-us/who-we-are</vt:lpwstr>
      </vt:variant>
      <vt:variant>
        <vt:lpwstr/>
      </vt:variant>
      <vt:variant>
        <vt:i4>6619190</vt:i4>
      </vt:variant>
      <vt:variant>
        <vt:i4>198</vt:i4>
      </vt:variant>
      <vt:variant>
        <vt:i4>0</vt:i4>
      </vt:variant>
      <vt:variant>
        <vt:i4>5</vt:i4>
      </vt:variant>
      <vt:variant>
        <vt:lpwstr>https://hootsuite.com/</vt:lpwstr>
      </vt:variant>
      <vt:variant>
        <vt:lpwstr/>
      </vt:variant>
      <vt:variant>
        <vt:i4>4128857</vt:i4>
      </vt:variant>
      <vt:variant>
        <vt:i4>195</vt:i4>
      </vt:variant>
      <vt:variant>
        <vt:i4>0</vt:i4>
      </vt:variant>
      <vt:variant>
        <vt:i4>5</vt:i4>
      </vt:variant>
      <vt:variant>
        <vt:lpwstr>https://analytics.google.com/analytics/web/</vt:lpwstr>
      </vt:variant>
      <vt:variant>
        <vt:lpwstr>/</vt:lpwstr>
      </vt:variant>
      <vt:variant>
        <vt:i4>65636</vt:i4>
      </vt:variant>
      <vt:variant>
        <vt:i4>192</vt:i4>
      </vt:variant>
      <vt:variant>
        <vt:i4>0</vt:i4>
      </vt:variant>
      <vt:variant>
        <vt:i4>5</vt:i4>
      </vt:variant>
      <vt:variant>
        <vt:lpwstr>https://nhmrc.sharepoint.com/:b:/s/corpmgt/IQDtZUYIAjuSQKt6eQvC7M3tAVbyWBz4bu_c2si4jT3vO0Q?e=5P0WaQ</vt:lpwstr>
      </vt:variant>
      <vt:variant>
        <vt:lpwstr/>
      </vt:variant>
      <vt:variant>
        <vt:i4>2490393</vt:i4>
      </vt:variant>
      <vt:variant>
        <vt:i4>189</vt:i4>
      </vt:variant>
      <vt:variant>
        <vt:i4>0</vt:i4>
      </vt:variant>
      <vt:variant>
        <vt:i4>5</vt:i4>
      </vt:variant>
      <vt:variant>
        <vt:lpwstr>https://nhmrc.sharepoint.com/:b:/s/corpmgt/IQBkdTm6l0TuVpJP1TlthMzzAeI_QJGbO4lO8eMKZ9P-JEM?e=pdLNTi</vt:lpwstr>
      </vt:variant>
      <vt:variant>
        <vt:lpwstr/>
      </vt:variant>
      <vt:variant>
        <vt:i4>1703990</vt:i4>
      </vt:variant>
      <vt:variant>
        <vt:i4>182</vt:i4>
      </vt:variant>
      <vt:variant>
        <vt:i4>0</vt:i4>
      </vt:variant>
      <vt:variant>
        <vt:i4>5</vt:i4>
      </vt:variant>
      <vt:variant>
        <vt:lpwstr/>
      </vt:variant>
      <vt:variant>
        <vt:lpwstr>_Toc222923458</vt:lpwstr>
      </vt:variant>
      <vt:variant>
        <vt:i4>1703990</vt:i4>
      </vt:variant>
      <vt:variant>
        <vt:i4>176</vt:i4>
      </vt:variant>
      <vt:variant>
        <vt:i4>0</vt:i4>
      </vt:variant>
      <vt:variant>
        <vt:i4>5</vt:i4>
      </vt:variant>
      <vt:variant>
        <vt:lpwstr/>
      </vt:variant>
      <vt:variant>
        <vt:lpwstr>_Toc222923457</vt:lpwstr>
      </vt:variant>
      <vt:variant>
        <vt:i4>1703990</vt:i4>
      </vt:variant>
      <vt:variant>
        <vt:i4>170</vt:i4>
      </vt:variant>
      <vt:variant>
        <vt:i4>0</vt:i4>
      </vt:variant>
      <vt:variant>
        <vt:i4>5</vt:i4>
      </vt:variant>
      <vt:variant>
        <vt:lpwstr/>
      </vt:variant>
      <vt:variant>
        <vt:lpwstr>_Toc222923456</vt:lpwstr>
      </vt:variant>
      <vt:variant>
        <vt:i4>1703990</vt:i4>
      </vt:variant>
      <vt:variant>
        <vt:i4>164</vt:i4>
      </vt:variant>
      <vt:variant>
        <vt:i4>0</vt:i4>
      </vt:variant>
      <vt:variant>
        <vt:i4>5</vt:i4>
      </vt:variant>
      <vt:variant>
        <vt:lpwstr/>
      </vt:variant>
      <vt:variant>
        <vt:lpwstr>_Toc222923455</vt:lpwstr>
      </vt:variant>
      <vt:variant>
        <vt:i4>1703990</vt:i4>
      </vt:variant>
      <vt:variant>
        <vt:i4>158</vt:i4>
      </vt:variant>
      <vt:variant>
        <vt:i4>0</vt:i4>
      </vt:variant>
      <vt:variant>
        <vt:i4>5</vt:i4>
      </vt:variant>
      <vt:variant>
        <vt:lpwstr/>
      </vt:variant>
      <vt:variant>
        <vt:lpwstr>_Toc222923454</vt:lpwstr>
      </vt:variant>
      <vt:variant>
        <vt:i4>1703990</vt:i4>
      </vt:variant>
      <vt:variant>
        <vt:i4>152</vt:i4>
      </vt:variant>
      <vt:variant>
        <vt:i4>0</vt:i4>
      </vt:variant>
      <vt:variant>
        <vt:i4>5</vt:i4>
      </vt:variant>
      <vt:variant>
        <vt:lpwstr/>
      </vt:variant>
      <vt:variant>
        <vt:lpwstr>_Toc222923453</vt:lpwstr>
      </vt:variant>
      <vt:variant>
        <vt:i4>1703990</vt:i4>
      </vt:variant>
      <vt:variant>
        <vt:i4>146</vt:i4>
      </vt:variant>
      <vt:variant>
        <vt:i4>0</vt:i4>
      </vt:variant>
      <vt:variant>
        <vt:i4>5</vt:i4>
      </vt:variant>
      <vt:variant>
        <vt:lpwstr/>
      </vt:variant>
      <vt:variant>
        <vt:lpwstr>_Toc222923452</vt:lpwstr>
      </vt:variant>
      <vt:variant>
        <vt:i4>1703990</vt:i4>
      </vt:variant>
      <vt:variant>
        <vt:i4>140</vt:i4>
      </vt:variant>
      <vt:variant>
        <vt:i4>0</vt:i4>
      </vt:variant>
      <vt:variant>
        <vt:i4>5</vt:i4>
      </vt:variant>
      <vt:variant>
        <vt:lpwstr/>
      </vt:variant>
      <vt:variant>
        <vt:lpwstr>_Toc222923451</vt:lpwstr>
      </vt:variant>
      <vt:variant>
        <vt:i4>1703990</vt:i4>
      </vt:variant>
      <vt:variant>
        <vt:i4>134</vt:i4>
      </vt:variant>
      <vt:variant>
        <vt:i4>0</vt:i4>
      </vt:variant>
      <vt:variant>
        <vt:i4>5</vt:i4>
      </vt:variant>
      <vt:variant>
        <vt:lpwstr/>
      </vt:variant>
      <vt:variant>
        <vt:lpwstr>_Toc222923450</vt:lpwstr>
      </vt:variant>
      <vt:variant>
        <vt:i4>1769526</vt:i4>
      </vt:variant>
      <vt:variant>
        <vt:i4>128</vt:i4>
      </vt:variant>
      <vt:variant>
        <vt:i4>0</vt:i4>
      </vt:variant>
      <vt:variant>
        <vt:i4>5</vt:i4>
      </vt:variant>
      <vt:variant>
        <vt:lpwstr/>
      </vt:variant>
      <vt:variant>
        <vt:lpwstr>_Toc222923449</vt:lpwstr>
      </vt:variant>
      <vt:variant>
        <vt:i4>1769526</vt:i4>
      </vt:variant>
      <vt:variant>
        <vt:i4>122</vt:i4>
      </vt:variant>
      <vt:variant>
        <vt:i4>0</vt:i4>
      </vt:variant>
      <vt:variant>
        <vt:i4>5</vt:i4>
      </vt:variant>
      <vt:variant>
        <vt:lpwstr/>
      </vt:variant>
      <vt:variant>
        <vt:lpwstr>_Toc222923448</vt:lpwstr>
      </vt:variant>
      <vt:variant>
        <vt:i4>1769526</vt:i4>
      </vt:variant>
      <vt:variant>
        <vt:i4>116</vt:i4>
      </vt:variant>
      <vt:variant>
        <vt:i4>0</vt:i4>
      </vt:variant>
      <vt:variant>
        <vt:i4>5</vt:i4>
      </vt:variant>
      <vt:variant>
        <vt:lpwstr/>
      </vt:variant>
      <vt:variant>
        <vt:lpwstr>_Toc222923447</vt:lpwstr>
      </vt:variant>
      <vt:variant>
        <vt:i4>1769526</vt:i4>
      </vt:variant>
      <vt:variant>
        <vt:i4>110</vt:i4>
      </vt:variant>
      <vt:variant>
        <vt:i4>0</vt:i4>
      </vt:variant>
      <vt:variant>
        <vt:i4>5</vt:i4>
      </vt:variant>
      <vt:variant>
        <vt:lpwstr/>
      </vt:variant>
      <vt:variant>
        <vt:lpwstr>_Toc222923446</vt:lpwstr>
      </vt:variant>
      <vt:variant>
        <vt:i4>1769526</vt:i4>
      </vt:variant>
      <vt:variant>
        <vt:i4>104</vt:i4>
      </vt:variant>
      <vt:variant>
        <vt:i4>0</vt:i4>
      </vt:variant>
      <vt:variant>
        <vt:i4>5</vt:i4>
      </vt:variant>
      <vt:variant>
        <vt:lpwstr/>
      </vt:variant>
      <vt:variant>
        <vt:lpwstr>_Toc222923445</vt:lpwstr>
      </vt:variant>
      <vt:variant>
        <vt:i4>1769526</vt:i4>
      </vt:variant>
      <vt:variant>
        <vt:i4>98</vt:i4>
      </vt:variant>
      <vt:variant>
        <vt:i4>0</vt:i4>
      </vt:variant>
      <vt:variant>
        <vt:i4>5</vt:i4>
      </vt:variant>
      <vt:variant>
        <vt:lpwstr/>
      </vt:variant>
      <vt:variant>
        <vt:lpwstr>_Toc222923444</vt:lpwstr>
      </vt:variant>
      <vt:variant>
        <vt:i4>1769526</vt:i4>
      </vt:variant>
      <vt:variant>
        <vt:i4>92</vt:i4>
      </vt:variant>
      <vt:variant>
        <vt:i4>0</vt:i4>
      </vt:variant>
      <vt:variant>
        <vt:i4>5</vt:i4>
      </vt:variant>
      <vt:variant>
        <vt:lpwstr/>
      </vt:variant>
      <vt:variant>
        <vt:lpwstr>_Toc222923443</vt:lpwstr>
      </vt:variant>
      <vt:variant>
        <vt:i4>1769526</vt:i4>
      </vt:variant>
      <vt:variant>
        <vt:i4>86</vt:i4>
      </vt:variant>
      <vt:variant>
        <vt:i4>0</vt:i4>
      </vt:variant>
      <vt:variant>
        <vt:i4>5</vt:i4>
      </vt:variant>
      <vt:variant>
        <vt:lpwstr/>
      </vt:variant>
      <vt:variant>
        <vt:lpwstr>_Toc222923442</vt:lpwstr>
      </vt:variant>
      <vt:variant>
        <vt:i4>1769526</vt:i4>
      </vt:variant>
      <vt:variant>
        <vt:i4>80</vt:i4>
      </vt:variant>
      <vt:variant>
        <vt:i4>0</vt:i4>
      </vt:variant>
      <vt:variant>
        <vt:i4>5</vt:i4>
      </vt:variant>
      <vt:variant>
        <vt:lpwstr/>
      </vt:variant>
      <vt:variant>
        <vt:lpwstr>_Toc222923441</vt:lpwstr>
      </vt:variant>
      <vt:variant>
        <vt:i4>1769526</vt:i4>
      </vt:variant>
      <vt:variant>
        <vt:i4>74</vt:i4>
      </vt:variant>
      <vt:variant>
        <vt:i4>0</vt:i4>
      </vt:variant>
      <vt:variant>
        <vt:i4>5</vt:i4>
      </vt:variant>
      <vt:variant>
        <vt:lpwstr/>
      </vt:variant>
      <vt:variant>
        <vt:lpwstr>_Toc222923440</vt:lpwstr>
      </vt:variant>
      <vt:variant>
        <vt:i4>1835062</vt:i4>
      </vt:variant>
      <vt:variant>
        <vt:i4>68</vt:i4>
      </vt:variant>
      <vt:variant>
        <vt:i4>0</vt:i4>
      </vt:variant>
      <vt:variant>
        <vt:i4>5</vt:i4>
      </vt:variant>
      <vt:variant>
        <vt:lpwstr/>
      </vt:variant>
      <vt:variant>
        <vt:lpwstr>_Toc222923439</vt:lpwstr>
      </vt:variant>
      <vt:variant>
        <vt:i4>1835062</vt:i4>
      </vt:variant>
      <vt:variant>
        <vt:i4>62</vt:i4>
      </vt:variant>
      <vt:variant>
        <vt:i4>0</vt:i4>
      </vt:variant>
      <vt:variant>
        <vt:i4>5</vt:i4>
      </vt:variant>
      <vt:variant>
        <vt:lpwstr/>
      </vt:variant>
      <vt:variant>
        <vt:lpwstr>_Toc222923438</vt:lpwstr>
      </vt:variant>
      <vt:variant>
        <vt:i4>1835062</vt:i4>
      </vt:variant>
      <vt:variant>
        <vt:i4>56</vt:i4>
      </vt:variant>
      <vt:variant>
        <vt:i4>0</vt:i4>
      </vt:variant>
      <vt:variant>
        <vt:i4>5</vt:i4>
      </vt:variant>
      <vt:variant>
        <vt:lpwstr/>
      </vt:variant>
      <vt:variant>
        <vt:lpwstr>_Toc222923437</vt:lpwstr>
      </vt:variant>
      <vt:variant>
        <vt:i4>1835062</vt:i4>
      </vt:variant>
      <vt:variant>
        <vt:i4>50</vt:i4>
      </vt:variant>
      <vt:variant>
        <vt:i4>0</vt:i4>
      </vt:variant>
      <vt:variant>
        <vt:i4>5</vt:i4>
      </vt:variant>
      <vt:variant>
        <vt:lpwstr/>
      </vt:variant>
      <vt:variant>
        <vt:lpwstr>_Toc222923436</vt:lpwstr>
      </vt:variant>
      <vt:variant>
        <vt:i4>1835062</vt:i4>
      </vt:variant>
      <vt:variant>
        <vt:i4>44</vt:i4>
      </vt:variant>
      <vt:variant>
        <vt:i4>0</vt:i4>
      </vt:variant>
      <vt:variant>
        <vt:i4>5</vt:i4>
      </vt:variant>
      <vt:variant>
        <vt:lpwstr/>
      </vt:variant>
      <vt:variant>
        <vt:lpwstr>_Toc222923435</vt:lpwstr>
      </vt:variant>
      <vt:variant>
        <vt:i4>1835062</vt:i4>
      </vt:variant>
      <vt:variant>
        <vt:i4>38</vt:i4>
      </vt:variant>
      <vt:variant>
        <vt:i4>0</vt:i4>
      </vt:variant>
      <vt:variant>
        <vt:i4>5</vt:i4>
      </vt:variant>
      <vt:variant>
        <vt:lpwstr/>
      </vt:variant>
      <vt:variant>
        <vt:lpwstr>_Toc222923434</vt:lpwstr>
      </vt:variant>
      <vt:variant>
        <vt:i4>1835062</vt:i4>
      </vt:variant>
      <vt:variant>
        <vt:i4>32</vt:i4>
      </vt:variant>
      <vt:variant>
        <vt:i4>0</vt:i4>
      </vt:variant>
      <vt:variant>
        <vt:i4>5</vt:i4>
      </vt:variant>
      <vt:variant>
        <vt:lpwstr/>
      </vt:variant>
      <vt:variant>
        <vt:lpwstr>_Toc222923433</vt:lpwstr>
      </vt:variant>
      <vt:variant>
        <vt:i4>1835062</vt:i4>
      </vt:variant>
      <vt:variant>
        <vt:i4>26</vt:i4>
      </vt:variant>
      <vt:variant>
        <vt:i4>0</vt:i4>
      </vt:variant>
      <vt:variant>
        <vt:i4>5</vt:i4>
      </vt:variant>
      <vt:variant>
        <vt:lpwstr/>
      </vt:variant>
      <vt:variant>
        <vt:lpwstr>_Toc222923432</vt:lpwstr>
      </vt:variant>
      <vt:variant>
        <vt:i4>1835062</vt:i4>
      </vt:variant>
      <vt:variant>
        <vt:i4>20</vt:i4>
      </vt:variant>
      <vt:variant>
        <vt:i4>0</vt:i4>
      </vt:variant>
      <vt:variant>
        <vt:i4>5</vt:i4>
      </vt:variant>
      <vt:variant>
        <vt:lpwstr/>
      </vt:variant>
      <vt:variant>
        <vt:lpwstr>_Toc222923431</vt:lpwstr>
      </vt:variant>
      <vt:variant>
        <vt:i4>1835062</vt:i4>
      </vt:variant>
      <vt:variant>
        <vt:i4>14</vt:i4>
      </vt:variant>
      <vt:variant>
        <vt:i4>0</vt:i4>
      </vt:variant>
      <vt:variant>
        <vt:i4>5</vt:i4>
      </vt:variant>
      <vt:variant>
        <vt:lpwstr/>
      </vt:variant>
      <vt:variant>
        <vt:lpwstr>_Toc222923430</vt:lpwstr>
      </vt:variant>
      <vt:variant>
        <vt:i4>1900598</vt:i4>
      </vt:variant>
      <vt:variant>
        <vt:i4>8</vt:i4>
      </vt:variant>
      <vt:variant>
        <vt:i4>0</vt:i4>
      </vt:variant>
      <vt:variant>
        <vt:i4>5</vt:i4>
      </vt:variant>
      <vt:variant>
        <vt:lpwstr/>
      </vt:variant>
      <vt:variant>
        <vt:lpwstr>_Toc222923429</vt:lpwstr>
      </vt:variant>
      <vt:variant>
        <vt:i4>1900598</vt:i4>
      </vt:variant>
      <vt:variant>
        <vt:i4>2</vt:i4>
      </vt:variant>
      <vt:variant>
        <vt:i4>0</vt:i4>
      </vt:variant>
      <vt:variant>
        <vt:i4>5</vt:i4>
      </vt:variant>
      <vt:variant>
        <vt:lpwstr/>
      </vt:variant>
      <vt:variant>
        <vt:lpwstr>_Toc222923428</vt:lpwstr>
      </vt:variant>
      <vt:variant>
        <vt:i4>5963861</vt:i4>
      </vt:variant>
      <vt:variant>
        <vt:i4>3</vt:i4>
      </vt:variant>
      <vt:variant>
        <vt:i4>0</vt:i4>
      </vt:variant>
      <vt:variant>
        <vt:i4>5</vt:i4>
      </vt:variant>
      <vt:variant>
        <vt:lpwstr>https://gs.statcounter.com/os-market-share/desktop/australia</vt:lpwstr>
      </vt:variant>
      <vt:variant>
        <vt:lpwstr/>
      </vt:variant>
      <vt:variant>
        <vt:i4>6815846</vt:i4>
      </vt:variant>
      <vt:variant>
        <vt:i4>0</vt:i4>
      </vt:variant>
      <vt:variant>
        <vt:i4>0</vt:i4>
      </vt:variant>
      <vt:variant>
        <vt:i4>5</vt:i4>
      </vt:variant>
      <vt:variant>
        <vt:lpwstr>https://www.abs.gov.au/statistics/people/population/national-state-and-territory-population/latest-release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2026-05-10T22:56:00Z</dcterms:created>
  <dcterms:modified xsi:type="dcterms:W3CDTF">2026-05-10T22:56:00Z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532425cd,40c9ac48,473d00a2,778a15a4</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ClassificationContentMarkingFooterShapeIds">
    <vt:lpwstr>aa4ebd0,4efa08d0,521de61e</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9a5e7792-7543-4db2-bcc9-9caeff0b8eb1_Enabled">
    <vt:lpwstr>true</vt:lpwstr>
  </property>
  <property fmtid="{D5CDD505-2E9C-101B-9397-08002B2CF9AE}" pid="9" name="MSIP_Label_9a5e7792-7543-4db2-bcc9-9caeff0b8eb1_SetDate">
    <vt:lpwstr>2026-05-10T22:56:33Z</vt:lpwstr>
  </property>
  <property fmtid="{D5CDD505-2E9C-101B-9397-08002B2CF9AE}" pid="10" name="MSIP_Label_9a5e7792-7543-4db2-bcc9-9caeff0b8eb1_Method">
    <vt:lpwstr>Privileged</vt:lpwstr>
  </property>
  <property fmtid="{D5CDD505-2E9C-101B-9397-08002B2CF9AE}" pid="11" name="MSIP_Label_9a5e7792-7543-4db2-bcc9-9caeff0b8eb1_Name">
    <vt:lpwstr>OFFICIAL</vt:lpwstr>
  </property>
  <property fmtid="{D5CDD505-2E9C-101B-9397-08002B2CF9AE}" pid="12" name="MSIP_Label_9a5e7792-7543-4db2-bcc9-9caeff0b8eb1_SiteId">
    <vt:lpwstr>402fca06-dc9c-412f-9bf9-1a335a4671f7</vt:lpwstr>
  </property>
  <property fmtid="{D5CDD505-2E9C-101B-9397-08002B2CF9AE}" pid="13" name="MSIP_Label_9a5e7792-7543-4db2-bcc9-9caeff0b8eb1_ActionId">
    <vt:lpwstr>037be83e-5134-454f-b9a7-79b872d81aa7</vt:lpwstr>
  </property>
  <property fmtid="{D5CDD505-2E9C-101B-9397-08002B2CF9AE}" pid="14" name="MSIP_Label_9a5e7792-7543-4db2-bcc9-9caeff0b8eb1_ContentBits">
    <vt:lpwstr>3</vt:lpwstr>
  </property>
  <property fmtid="{D5CDD505-2E9C-101B-9397-08002B2CF9AE}" pid="15" name="MSIP_Label_9a5e7792-7543-4db2-bcc9-9caeff0b8eb1_Tag">
    <vt:lpwstr>10, 0, 1, 1</vt:lpwstr>
  </property>
</Properties>
</file>